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17" w:rsidRPr="00BD13FE" w:rsidRDefault="0077350E" w:rsidP="00E10817">
      <w:pPr>
        <w:tabs>
          <w:tab w:val="left" w:pos="9356"/>
        </w:tabs>
        <w:ind w:left="-567" w:right="1"/>
        <w:contextualSpacing/>
        <w:jc w:val="center"/>
        <w:rPr>
          <w:rFonts w:ascii="Times New Roman" w:hAnsi="Times New Roman" w:cs="Times New Roman"/>
          <w:b/>
          <w:sz w:val="24"/>
          <w:szCs w:val="24"/>
        </w:rPr>
      </w:pPr>
      <w:bookmarkStart w:id="0" w:name="_GoBack"/>
      <w:bookmarkEnd w:id="0"/>
      <w:r w:rsidRPr="00BD13FE">
        <w:rPr>
          <w:rFonts w:ascii="Times New Roman" w:hAnsi="Times New Roman" w:cs="Times New Roman"/>
          <w:b/>
          <w:sz w:val="24"/>
          <w:szCs w:val="24"/>
        </w:rPr>
        <w:t xml:space="preserve">      </w:t>
      </w:r>
      <w:r w:rsidR="00E10817" w:rsidRPr="00BD13FE">
        <w:rPr>
          <w:rFonts w:ascii="Times New Roman" w:hAnsi="Times New Roman" w:cs="Times New Roman"/>
          <w:b/>
          <w:sz w:val="24"/>
          <w:szCs w:val="24"/>
        </w:rPr>
        <w:t>NOTA DE FUNDAMENTARE</w:t>
      </w:r>
    </w:p>
    <w:tbl>
      <w:tblPr>
        <w:tblW w:w="9640" w:type="dxa"/>
        <w:tblInd w:w="-147" w:type="dxa"/>
        <w:tblLayout w:type="fixed"/>
        <w:tblLook w:val="04A0" w:firstRow="1" w:lastRow="0" w:firstColumn="1" w:lastColumn="0" w:noHBand="0" w:noVBand="1"/>
      </w:tblPr>
      <w:tblGrid>
        <w:gridCol w:w="2836"/>
        <w:gridCol w:w="850"/>
        <w:gridCol w:w="655"/>
        <w:gridCol w:w="31"/>
        <w:gridCol w:w="306"/>
        <w:gridCol w:w="275"/>
        <w:gridCol w:w="1001"/>
        <w:gridCol w:w="992"/>
        <w:gridCol w:w="851"/>
        <w:gridCol w:w="963"/>
        <w:gridCol w:w="880"/>
      </w:tblGrid>
      <w:tr w:rsidR="00BD13FE" w:rsidRPr="00BD13FE" w:rsidTr="00CB7B7F">
        <w:trPr>
          <w:cantSplit/>
        </w:trPr>
        <w:tc>
          <w:tcPr>
            <w:tcW w:w="9640" w:type="dxa"/>
            <w:gridSpan w:val="11"/>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pStyle w:val="Heading2"/>
              <w:numPr>
                <w:ilvl w:val="0"/>
                <w:numId w:val="0"/>
              </w:numPr>
              <w:spacing w:before="0" w:after="0"/>
              <w:ind w:left="43"/>
              <w:contextualSpacing/>
              <w:jc w:val="center"/>
              <w:rPr>
                <w:rFonts w:ascii="Times New Roman" w:hAnsi="Times New Roman"/>
                <w:i w:val="0"/>
                <w:kern w:val="2"/>
                <w:sz w:val="24"/>
                <w:szCs w:val="24"/>
              </w:rPr>
            </w:pPr>
            <w:r w:rsidRPr="00BD13FE">
              <w:rPr>
                <w:rFonts w:ascii="Times New Roman" w:hAnsi="Times New Roman"/>
                <w:i w:val="0"/>
                <w:iCs w:val="0"/>
                <w:kern w:val="2"/>
                <w:sz w:val="24"/>
                <w:szCs w:val="24"/>
              </w:rPr>
              <w:t>Secțiunea 1</w:t>
            </w:r>
          </w:p>
          <w:p w:rsidR="00E10817" w:rsidRPr="00BD13FE" w:rsidRDefault="00E10817" w:rsidP="000849ED">
            <w:pPr>
              <w:ind w:left="43"/>
              <w:contextualSpacing/>
              <w:jc w:val="center"/>
              <w:rPr>
                <w:rFonts w:ascii="Times New Roman" w:hAnsi="Times New Roman" w:cs="Times New Roman"/>
                <w:b/>
                <w:bCs/>
                <w:kern w:val="2"/>
                <w:sz w:val="24"/>
                <w:szCs w:val="24"/>
              </w:rPr>
            </w:pPr>
            <w:r w:rsidRPr="00BD13FE">
              <w:rPr>
                <w:rFonts w:ascii="Times New Roman" w:hAnsi="Times New Roman" w:cs="Times New Roman"/>
                <w:b/>
                <w:bCs/>
                <w:kern w:val="2"/>
                <w:sz w:val="24"/>
                <w:szCs w:val="24"/>
              </w:rPr>
              <w:t>Titlul prezentului act normativ</w:t>
            </w:r>
          </w:p>
          <w:p w:rsidR="007E3336" w:rsidRPr="00BD13FE" w:rsidRDefault="007E3336" w:rsidP="007E3336">
            <w:pPr>
              <w:suppressAutoHyphens/>
              <w:autoSpaceDE w:val="0"/>
              <w:spacing w:line="360" w:lineRule="auto"/>
              <w:jc w:val="center"/>
              <w:rPr>
                <w:rFonts w:ascii="Times New Roman" w:eastAsia="Times New Roman" w:hAnsi="Times New Roman" w:cs="Times New Roman"/>
                <w:b/>
                <w:sz w:val="24"/>
                <w:szCs w:val="24"/>
                <w:lang w:eastAsia="ro-RO"/>
              </w:rPr>
            </w:pPr>
            <w:r w:rsidRPr="00BD13FE">
              <w:rPr>
                <w:rFonts w:ascii="Times New Roman" w:eastAsia="Times New Roman" w:hAnsi="Times New Roman" w:cs="Times New Roman"/>
                <w:b/>
                <w:sz w:val="24"/>
                <w:szCs w:val="24"/>
                <w:lang w:eastAsia="ro-RO"/>
              </w:rPr>
              <w:t>Ordonanța de urgență a Guvernului</w:t>
            </w:r>
          </w:p>
          <w:p w:rsidR="00E10817" w:rsidRPr="00BD13FE" w:rsidRDefault="007E3336" w:rsidP="004368C6">
            <w:pPr>
              <w:suppressAutoHyphens/>
              <w:autoSpaceDE w:val="0"/>
              <w:spacing w:line="360" w:lineRule="auto"/>
              <w:jc w:val="center"/>
              <w:rPr>
                <w:rFonts w:ascii="Times New Roman" w:eastAsia="Times New Roman" w:hAnsi="Times New Roman" w:cs="Times New Roman"/>
                <w:b/>
                <w:sz w:val="24"/>
                <w:szCs w:val="24"/>
                <w:lang w:eastAsia="ro-RO"/>
              </w:rPr>
            </w:pPr>
            <w:r w:rsidRPr="00BD13FE">
              <w:rPr>
                <w:rFonts w:ascii="Times New Roman" w:eastAsia="Times New Roman" w:hAnsi="Times New Roman" w:cs="Times New Roman"/>
                <w:b/>
                <w:sz w:val="24"/>
                <w:szCs w:val="24"/>
                <w:lang w:eastAsia="ro-RO"/>
              </w:rPr>
              <w:t>privind unele măsuri fiscal – bugetare și pentru modificarea unor acte normative</w:t>
            </w:r>
          </w:p>
        </w:tc>
      </w:tr>
      <w:tr w:rsidR="00BD13FE" w:rsidRPr="00BD13FE" w:rsidTr="00CB7B7F">
        <w:trPr>
          <w:cantSplit/>
        </w:trPr>
        <w:tc>
          <w:tcPr>
            <w:tcW w:w="9640" w:type="dxa"/>
            <w:gridSpan w:val="11"/>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pStyle w:val="Heading2"/>
              <w:numPr>
                <w:ilvl w:val="0"/>
                <w:numId w:val="0"/>
              </w:numPr>
              <w:spacing w:before="0" w:after="0"/>
              <w:ind w:left="576"/>
              <w:contextualSpacing/>
              <w:jc w:val="center"/>
              <w:rPr>
                <w:rFonts w:ascii="Times New Roman" w:hAnsi="Times New Roman"/>
                <w:i w:val="0"/>
                <w:sz w:val="24"/>
                <w:szCs w:val="24"/>
              </w:rPr>
            </w:pPr>
            <w:r w:rsidRPr="00BD13FE">
              <w:rPr>
                <w:rFonts w:ascii="Times New Roman" w:hAnsi="Times New Roman"/>
                <w:bCs w:val="0"/>
                <w:i w:val="0"/>
                <w:sz w:val="24"/>
                <w:szCs w:val="24"/>
              </w:rPr>
              <w:t>Secțiunea a 2-a</w:t>
            </w:r>
          </w:p>
          <w:p w:rsidR="00E10817" w:rsidRPr="00BD13FE" w:rsidRDefault="00E10817" w:rsidP="000849ED">
            <w:pPr>
              <w:contextualSpacing/>
              <w:jc w:val="center"/>
              <w:rPr>
                <w:rFonts w:ascii="Times New Roman" w:hAnsi="Times New Roman" w:cs="Times New Roman"/>
                <w:b/>
                <w:bCs/>
                <w:sz w:val="24"/>
                <w:szCs w:val="24"/>
              </w:rPr>
            </w:pPr>
            <w:r w:rsidRPr="00BD13FE">
              <w:rPr>
                <w:rFonts w:ascii="Times New Roman" w:hAnsi="Times New Roman" w:cs="Times New Roman"/>
                <w:b/>
                <w:bCs/>
                <w:sz w:val="24"/>
                <w:szCs w:val="24"/>
              </w:rPr>
              <w:t>Motivul emiterii actului normativ</w:t>
            </w:r>
          </w:p>
          <w:p w:rsidR="003C489F" w:rsidRPr="00BD13FE" w:rsidRDefault="003C489F" w:rsidP="00C52ED5">
            <w:pPr>
              <w:keepLines/>
              <w:widowControl w:val="0"/>
              <w:spacing w:after="240"/>
              <w:ind w:left="481" w:right="228" w:hanging="142"/>
              <w:jc w:val="both"/>
              <w:rPr>
                <w:rFonts w:ascii="Times New Roman" w:eastAsia="Times New Roman" w:hAnsi="Times New Roman" w:cs="Times New Roman"/>
                <w:sz w:val="24"/>
                <w:szCs w:val="24"/>
                <w:lang w:eastAsia="zh-CN"/>
              </w:rPr>
            </w:pPr>
            <w:r w:rsidRPr="00BD13FE">
              <w:rPr>
                <w:rFonts w:ascii="Times New Roman" w:eastAsia="Times New Roman" w:hAnsi="Times New Roman" w:cs="Times New Roman"/>
                <w:sz w:val="24"/>
                <w:szCs w:val="24"/>
                <w:lang w:eastAsia="zh-CN"/>
              </w:rPr>
              <w:t>Promovarea acestui act normativ este determinată, în principal, de necesitatea:</w:t>
            </w:r>
          </w:p>
          <w:p w:rsidR="00C52ED5" w:rsidRPr="00BD13FE" w:rsidRDefault="004623EC" w:rsidP="00C52ED5">
            <w:pPr>
              <w:pStyle w:val="Standard"/>
              <w:numPr>
                <w:ilvl w:val="0"/>
                <w:numId w:val="10"/>
              </w:numPr>
              <w:spacing w:after="240"/>
              <w:ind w:left="460" w:right="34" w:hanging="142"/>
              <w:jc w:val="both"/>
              <w:rPr>
                <w:rFonts w:cs="Times New Roman"/>
                <w:lang w:val="ro-RO"/>
              </w:rPr>
            </w:pPr>
            <w:r w:rsidRPr="00BD13FE">
              <w:rPr>
                <w:rFonts w:cs="Times New Roman"/>
                <w:lang w:val="ro-RO"/>
              </w:rPr>
              <w:t xml:space="preserve"> asigurării, din punct de vedere al stabilirii impozitului pe profit, a unui tratament fiscal unitar pentru operaţiunile specifice efectuate ca urmare a aplicării IFRS 9 ”Instrumente financiare”,</w:t>
            </w:r>
          </w:p>
          <w:p w:rsidR="00427932" w:rsidRPr="00BD13FE" w:rsidRDefault="00427932" w:rsidP="00427932">
            <w:pPr>
              <w:pStyle w:val="Standard"/>
              <w:numPr>
                <w:ilvl w:val="0"/>
                <w:numId w:val="10"/>
              </w:numPr>
              <w:spacing w:after="240"/>
              <w:ind w:left="460" w:right="34" w:hanging="142"/>
              <w:jc w:val="both"/>
              <w:rPr>
                <w:rFonts w:cs="Times New Roman"/>
                <w:lang w:val="ro-RO"/>
              </w:rPr>
            </w:pPr>
            <w:r w:rsidRPr="00BD13FE">
              <w:rPr>
                <w:rFonts w:cs="Times New Roman"/>
                <w:lang w:val="ro-RO"/>
              </w:rPr>
              <w:t xml:space="preserve"> asigurării posibilității, pentru toți contribuabilii care au obligația depunerii declarației unice privind impozitul pe venit și contribuțiile sociale datorate de persoanele fizice de a beneficia în mod egal de bonificațiile la plata cu anticipație a obligațiilor fiscale,</w:t>
            </w:r>
          </w:p>
          <w:p w:rsidR="00427932" w:rsidRPr="00BD13FE" w:rsidRDefault="00427932" w:rsidP="00427932">
            <w:pPr>
              <w:pStyle w:val="Standard"/>
              <w:numPr>
                <w:ilvl w:val="0"/>
                <w:numId w:val="10"/>
              </w:numPr>
              <w:spacing w:after="240"/>
              <w:ind w:left="460" w:right="34" w:hanging="142"/>
              <w:jc w:val="both"/>
              <w:rPr>
                <w:rFonts w:cs="Times New Roman"/>
                <w:lang w:val="ro-RO"/>
              </w:rPr>
            </w:pPr>
            <w:r w:rsidRPr="00BD13FE">
              <w:rPr>
                <w:rFonts w:cs="Times New Roman"/>
                <w:lang w:val="ro-RO"/>
              </w:rPr>
              <w:t>instituirii unor proceduri care să permită modificarea obligațiilor de plată reprezentând CASS datorată de către persoanele fizice fără venituri, stabilite de ANAF prin decizii de impunere emise anterior introducerii mecanismului de autoimpunere în cazul persoanelor fizice, în cazurile în care persoanele fizice încep să realizeze venituri sau opteză pentru plata contribuției în condițiile actualelor prevederi, mai avatajoase pentru aceștia,</w:t>
            </w:r>
          </w:p>
          <w:p w:rsidR="00427932" w:rsidRPr="00BD13FE" w:rsidRDefault="00427932" w:rsidP="00E610FB">
            <w:pPr>
              <w:pStyle w:val="Standard"/>
              <w:numPr>
                <w:ilvl w:val="0"/>
                <w:numId w:val="10"/>
              </w:numPr>
              <w:spacing w:after="240"/>
              <w:ind w:left="460" w:right="34" w:hanging="142"/>
              <w:jc w:val="both"/>
              <w:rPr>
                <w:rFonts w:cs="Times New Roman"/>
                <w:lang w:val="ro-RO"/>
              </w:rPr>
            </w:pPr>
            <w:r w:rsidRPr="00BD13FE">
              <w:rPr>
                <w:rFonts w:cs="Times New Roman"/>
                <w:lang w:val="ro-RO"/>
              </w:rPr>
              <w:t>stimulării efectuării plății sumelor reprezentând impozitul pe venit și contribuțiile sociale datorate de persoanele fizice pentru perioadele anterioare, stabilite prin decizii de impunere anuală aferente perioadei 2014-2017, prin reglementarea unor noi termene de plată, precum și a unor bonificații pentru plata cu anticipație,</w:t>
            </w:r>
          </w:p>
          <w:p w:rsidR="00C52ED5" w:rsidRPr="00BD13FE" w:rsidRDefault="00C52ED5" w:rsidP="00C52ED5">
            <w:pPr>
              <w:pStyle w:val="Standard"/>
              <w:numPr>
                <w:ilvl w:val="0"/>
                <w:numId w:val="10"/>
              </w:numPr>
              <w:spacing w:before="240" w:after="240"/>
              <w:ind w:left="460" w:right="34" w:hanging="142"/>
              <w:jc w:val="both"/>
              <w:rPr>
                <w:rFonts w:cs="Times New Roman"/>
                <w:lang w:val="ro-RO"/>
              </w:rPr>
            </w:pPr>
            <w:r w:rsidRPr="00BD13FE">
              <w:rPr>
                <w:rFonts w:eastAsia="Times New Roman" w:cs="Times New Roman"/>
                <w:lang w:val="ro-RO"/>
              </w:rPr>
              <w:t>creării temeiului legal pentru efectuarea plății sumelor stabilite de instanța de judecată cu titlu de premiu la Loteria bonurilor fiscale, din bugetul Ministerului Finanțelor Publice – Acțiuni generale, în lipsa acestui suport legal executarea voluntară a hotărârilor judecătorești nefiind posibilă, fapt care conduce la grevarea bugetului de stat prin acumularea de sume suplimentare datorate pentru neplată;</w:t>
            </w:r>
          </w:p>
          <w:p w:rsidR="004623EC" w:rsidRPr="00BD13FE" w:rsidRDefault="00C52ED5" w:rsidP="00C52ED5">
            <w:pPr>
              <w:keepLines/>
              <w:widowControl w:val="0"/>
              <w:spacing w:after="240"/>
              <w:ind w:left="481" w:right="34" w:hanging="142"/>
              <w:jc w:val="both"/>
              <w:rPr>
                <w:rFonts w:ascii="Times New Roman" w:eastAsia="Times New Roman" w:hAnsi="Times New Roman" w:cs="Times New Roman"/>
                <w:sz w:val="24"/>
                <w:szCs w:val="24"/>
                <w:lang w:eastAsia="zh-CN"/>
              </w:rPr>
            </w:pPr>
            <w:r w:rsidRPr="00BD13FE">
              <w:rPr>
                <w:rFonts w:ascii="Times New Roman" w:eastAsia="Times New Roman" w:hAnsi="Times New Roman" w:cs="Times New Roman"/>
                <w:sz w:val="24"/>
                <w:szCs w:val="24"/>
                <w:lang w:eastAsia="zh-CN"/>
              </w:rPr>
              <w:t>•</w:t>
            </w:r>
            <w:r w:rsidRPr="00BD13FE">
              <w:rPr>
                <w:rFonts w:ascii="Times New Roman" w:eastAsia="Times New Roman" w:hAnsi="Times New Roman" w:cs="Times New Roman"/>
                <w:sz w:val="24"/>
                <w:szCs w:val="24"/>
                <w:lang w:eastAsia="zh-CN"/>
              </w:rPr>
              <w:tab/>
              <w:t xml:space="preserve"> menținerii interesului pentru Loteria bonurilor fiscale ca  măsură  cu impact pozitiv în ceea ce privește combaterea evaziunii fiscale, prin  promovarea unei măsuri care să garanteze că premiile deja plătite câștigătorilor sunt definitive, neputând fi micșorate retroactiv, astfel încât contribuabilii să nu fie descurajați să participe la Loteria bonurilor fiscale</w:t>
            </w:r>
          </w:p>
          <w:p w:rsidR="003C489F" w:rsidRPr="00BD13FE" w:rsidRDefault="003C489F" w:rsidP="00C52ED5">
            <w:pPr>
              <w:numPr>
                <w:ilvl w:val="0"/>
                <w:numId w:val="4"/>
              </w:numPr>
              <w:suppressAutoHyphens/>
              <w:spacing w:after="240"/>
              <w:ind w:left="481" w:right="34" w:hanging="142"/>
              <w:jc w:val="both"/>
              <w:rPr>
                <w:rFonts w:ascii="Times New Roman" w:eastAsia="Times New Roman" w:hAnsi="Times New Roman" w:cs="Times New Roman"/>
                <w:sz w:val="24"/>
                <w:szCs w:val="24"/>
                <w:lang w:eastAsia="zh-CN"/>
              </w:rPr>
            </w:pPr>
            <w:r w:rsidRPr="00BD13FE">
              <w:rPr>
                <w:rFonts w:ascii="Times New Roman" w:eastAsia="Times New Roman" w:hAnsi="Times New Roman" w:cs="Times New Roman"/>
                <w:sz w:val="24"/>
                <w:szCs w:val="24"/>
                <w:lang w:eastAsia="zh-CN"/>
              </w:rPr>
              <w:t>reducerii evaziunii fiscale şi crearea unui climat competitiv adecvat, sporirea echităţii, prin îmbunătăţirea distribuţiei veniturilor sau prin faptul că anumite bunuri devin mai accesibile pentru întreaga populaţie, prin reducerea cotei de TVA;</w:t>
            </w:r>
          </w:p>
          <w:p w:rsidR="00427932" w:rsidRPr="00BD13FE" w:rsidRDefault="003C489F" w:rsidP="00427932">
            <w:pPr>
              <w:numPr>
                <w:ilvl w:val="0"/>
                <w:numId w:val="4"/>
              </w:numPr>
              <w:suppressAutoHyphens/>
              <w:spacing w:after="240"/>
              <w:ind w:left="481" w:right="34" w:hanging="142"/>
              <w:jc w:val="both"/>
              <w:rPr>
                <w:rFonts w:ascii="Times New Roman" w:eastAsia="Times New Roman" w:hAnsi="Times New Roman" w:cs="Times New Roman"/>
                <w:sz w:val="24"/>
                <w:szCs w:val="24"/>
                <w:lang w:eastAsia="zh-CN"/>
              </w:rPr>
            </w:pPr>
            <w:r w:rsidRPr="00BD13FE">
              <w:rPr>
                <w:rFonts w:ascii="Times New Roman" w:eastAsia="Times New Roman" w:hAnsi="Times New Roman" w:cs="Times New Roman"/>
                <w:sz w:val="24"/>
                <w:szCs w:val="24"/>
                <w:lang w:eastAsia="zh-CN"/>
              </w:rPr>
              <w:t>generării de efecte pozitive semnificative asupra mediului de afaceri şi prin îmbunătăţirea fluxurilor de cash-flow, diminuându-se astfel o serie de dificultăţi cu care se confruntă operatorii ec</w:t>
            </w:r>
            <w:r w:rsidR="0018040C" w:rsidRPr="00BD13FE">
              <w:rPr>
                <w:rFonts w:ascii="Times New Roman" w:eastAsia="Times New Roman" w:hAnsi="Times New Roman" w:cs="Times New Roman"/>
                <w:sz w:val="24"/>
                <w:szCs w:val="24"/>
                <w:lang w:eastAsia="zh-CN"/>
              </w:rPr>
              <w:t>onomici din această perspectivă,</w:t>
            </w:r>
          </w:p>
          <w:p w:rsidR="00427932" w:rsidRPr="00BD13FE" w:rsidRDefault="0018040C" w:rsidP="004368C6">
            <w:pPr>
              <w:pStyle w:val="ListParagraph"/>
              <w:numPr>
                <w:ilvl w:val="0"/>
                <w:numId w:val="4"/>
              </w:numPr>
              <w:ind w:left="460" w:hanging="142"/>
              <w:jc w:val="both"/>
              <w:rPr>
                <w:rFonts w:ascii="Times New Roman" w:eastAsia="Times New Roman" w:hAnsi="Times New Roman" w:cs="Times New Roman"/>
                <w:sz w:val="24"/>
                <w:szCs w:val="24"/>
                <w:lang w:eastAsia="zh-CN"/>
              </w:rPr>
            </w:pPr>
            <w:r w:rsidRPr="00BD13FE">
              <w:rPr>
                <w:rFonts w:ascii="Times New Roman" w:eastAsia="Times New Roman" w:hAnsi="Times New Roman" w:cs="Times New Roman"/>
                <w:sz w:val="24"/>
                <w:szCs w:val="24"/>
                <w:lang w:eastAsia="zh-CN"/>
              </w:rPr>
              <w:t>posibilitatea  emiterii de către Ministerul Finanțelor Publice, în aplicarea schemelor de ajutor de stat administrate, de angajamente legale care să-i permită utilizarea disponibilului de credite bugetare pe o perioadă de timp mai mare decât perioada acoperită prin legile bugetare anuale, respectiv anul curent și 3 ani ulteriori.</w:t>
            </w:r>
          </w:p>
        </w:tc>
      </w:tr>
      <w:tr w:rsidR="00BD13FE" w:rsidRPr="00BD13FE" w:rsidTr="00CB7B7F">
        <w:tc>
          <w:tcPr>
            <w:tcW w:w="2836" w:type="dxa"/>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eastAsia="Calibri" w:hAnsi="Times New Roman" w:cs="Times New Roman"/>
                <w:sz w:val="24"/>
                <w:szCs w:val="24"/>
              </w:rPr>
            </w:pPr>
            <w:r w:rsidRPr="00BD13FE">
              <w:rPr>
                <w:rFonts w:ascii="Times New Roman" w:hAnsi="Times New Roman" w:cs="Times New Roman"/>
                <w:b/>
                <w:bCs/>
                <w:sz w:val="24"/>
                <w:szCs w:val="24"/>
              </w:rPr>
              <w:t>1. Descrierea situației actuale</w:t>
            </w:r>
          </w:p>
        </w:tc>
        <w:tc>
          <w:tcPr>
            <w:tcW w:w="6804" w:type="dxa"/>
            <w:gridSpan w:val="10"/>
            <w:tcBorders>
              <w:top w:val="single" w:sz="4" w:space="0" w:color="000000"/>
              <w:left w:val="single" w:sz="4" w:space="0" w:color="000000"/>
              <w:bottom w:val="single" w:sz="4" w:space="0" w:color="000000"/>
              <w:right w:val="single" w:sz="4" w:space="0" w:color="000000"/>
            </w:tcBorders>
          </w:tcPr>
          <w:p w:rsidR="00DA1056" w:rsidRPr="00BD13FE" w:rsidRDefault="0069016A" w:rsidP="00DA1056">
            <w:pPr>
              <w:ind w:left="-3"/>
              <w:jc w:val="both"/>
              <w:rPr>
                <w:rFonts w:ascii="Times New Roman" w:hAnsi="Times New Roman" w:cs="Times New Roman"/>
                <w:sz w:val="24"/>
                <w:szCs w:val="24"/>
                <w:lang w:eastAsia="ro-RO"/>
              </w:rPr>
            </w:pPr>
            <w:r w:rsidRPr="00BD13FE">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27932" w:rsidRPr="00BD13FE">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7932"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489F"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1056" w:rsidRPr="00BD13FE">
              <w:rPr>
                <w:rFonts w:ascii="Times New Roman" w:hAnsi="Times New Roman" w:cs="Times New Roman"/>
                <w:sz w:val="24"/>
                <w:szCs w:val="24"/>
                <w:lang w:eastAsia="ro-RO"/>
              </w:rPr>
              <w:t xml:space="preserve">În vederea asigurării surselor de finanțare pentru sezonul  rece, unitățile administrativ-teritoriale, care au sistem centralizat de </w:t>
            </w:r>
            <w:r w:rsidR="00227E31" w:rsidRPr="00BD13FE">
              <w:rPr>
                <w:rFonts w:ascii="Times New Roman" w:hAnsi="Times New Roman" w:cs="Times New Roman"/>
                <w:sz w:val="24"/>
                <w:szCs w:val="24"/>
                <w:lang w:eastAsia="ro-RO"/>
              </w:rPr>
              <w:lastRenderedPageBreak/>
              <w:t>furnizare</w:t>
            </w:r>
            <w:r w:rsidR="00500B39" w:rsidRPr="00BD13FE">
              <w:rPr>
                <w:rFonts w:ascii="Times New Roman" w:hAnsi="Times New Roman" w:cs="Times New Roman"/>
                <w:sz w:val="24"/>
                <w:szCs w:val="24"/>
                <w:lang w:eastAsia="ro-RO"/>
              </w:rPr>
              <w:t xml:space="preserve"> a energiei t</w:t>
            </w:r>
            <w:r w:rsidR="00DA1056" w:rsidRPr="00BD13FE">
              <w:rPr>
                <w:rFonts w:ascii="Times New Roman" w:hAnsi="Times New Roman" w:cs="Times New Roman"/>
                <w:sz w:val="24"/>
                <w:szCs w:val="24"/>
                <w:lang w:eastAsia="ro-RO"/>
              </w:rPr>
              <w:t>e</w:t>
            </w:r>
            <w:r w:rsidR="00500B39" w:rsidRPr="00BD13FE">
              <w:rPr>
                <w:rFonts w:ascii="Times New Roman" w:hAnsi="Times New Roman" w:cs="Times New Roman"/>
                <w:sz w:val="24"/>
                <w:szCs w:val="24"/>
                <w:lang w:eastAsia="ro-RO"/>
              </w:rPr>
              <w:t>r</w:t>
            </w:r>
            <w:r w:rsidR="00DA1056" w:rsidRPr="00BD13FE">
              <w:rPr>
                <w:rFonts w:ascii="Times New Roman" w:hAnsi="Times New Roman" w:cs="Times New Roman"/>
                <w:sz w:val="24"/>
                <w:szCs w:val="24"/>
                <w:lang w:eastAsia="ro-RO"/>
              </w:rPr>
              <w:t>mic</w:t>
            </w:r>
            <w:r w:rsidR="0041080F" w:rsidRPr="00BD13FE">
              <w:rPr>
                <w:rFonts w:ascii="Times New Roman" w:hAnsi="Times New Roman" w:cs="Times New Roman"/>
                <w:sz w:val="24"/>
                <w:szCs w:val="24"/>
                <w:lang w:eastAsia="ro-RO"/>
              </w:rPr>
              <w:t xml:space="preserve">e către </w:t>
            </w:r>
            <w:r w:rsidR="00500B39" w:rsidRPr="00BD13FE">
              <w:rPr>
                <w:rFonts w:ascii="Times New Roman" w:hAnsi="Times New Roman" w:cs="Times New Roman"/>
                <w:sz w:val="24"/>
                <w:szCs w:val="24"/>
                <w:lang w:eastAsia="ro-RO"/>
              </w:rPr>
              <w:t>populație</w:t>
            </w:r>
            <w:r w:rsidR="0041080F" w:rsidRPr="00BD13FE">
              <w:rPr>
                <w:rFonts w:ascii="Times New Roman" w:hAnsi="Times New Roman" w:cs="Times New Roman"/>
                <w:sz w:val="24"/>
                <w:szCs w:val="24"/>
                <w:lang w:eastAsia="ro-RO"/>
              </w:rPr>
              <w:t>, au solicitat</w:t>
            </w:r>
            <w:r w:rsidR="00227E31" w:rsidRPr="00BD13FE">
              <w:rPr>
                <w:rFonts w:ascii="Times New Roman" w:hAnsi="Times New Roman" w:cs="Times New Roman"/>
                <w:sz w:val="24"/>
                <w:szCs w:val="24"/>
                <w:lang w:eastAsia="ro-RO"/>
              </w:rPr>
              <w:t xml:space="preserve"> Ministerul</w:t>
            </w:r>
            <w:r w:rsidR="0041080F" w:rsidRPr="00BD13FE">
              <w:rPr>
                <w:rFonts w:ascii="Times New Roman" w:hAnsi="Times New Roman" w:cs="Times New Roman"/>
                <w:sz w:val="24"/>
                <w:szCs w:val="24"/>
                <w:lang w:eastAsia="ro-RO"/>
              </w:rPr>
              <w:t>ui</w:t>
            </w:r>
            <w:r w:rsidR="00227E31" w:rsidRPr="00BD13FE">
              <w:rPr>
                <w:rFonts w:ascii="Times New Roman" w:hAnsi="Times New Roman" w:cs="Times New Roman"/>
                <w:sz w:val="24"/>
                <w:szCs w:val="24"/>
                <w:lang w:eastAsia="ro-RO"/>
              </w:rPr>
              <w:t xml:space="preserve"> Dezvoltării Regionale și Administrației Publice</w:t>
            </w:r>
            <w:r w:rsidR="0041080F" w:rsidRPr="00BD13FE">
              <w:rPr>
                <w:rFonts w:ascii="Times New Roman" w:hAnsi="Times New Roman" w:cs="Times New Roman"/>
                <w:sz w:val="24"/>
                <w:szCs w:val="24"/>
                <w:lang w:eastAsia="ro-RO"/>
              </w:rPr>
              <w:t xml:space="preserve"> și Ministerului Finanțelor Publice</w:t>
            </w:r>
            <w:r w:rsidR="007F0D01" w:rsidRPr="00BD13FE">
              <w:rPr>
                <w:rFonts w:ascii="Times New Roman" w:hAnsi="Times New Roman" w:cs="Times New Roman"/>
                <w:sz w:val="24"/>
                <w:szCs w:val="24"/>
                <w:lang w:eastAsia="ro-RO"/>
              </w:rPr>
              <w:t>, alocarea de sume din Fondul de rezervă bugetară la dispoziția Guvernului</w:t>
            </w:r>
            <w:r w:rsidR="00227E31" w:rsidRPr="00BD13FE">
              <w:rPr>
                <w:rFonts w:ascii="Times New Roman" w:hAnsi="Times New Roman" w:cs="Times New Roman"/>
                <w:sz w:val="24"/>
                <w:szCs w:val="24"/>
                <w:lang w:eastAsia="ro-RO"/>
              </w:rPr>
              <w:t xml:space="preserve"> pentru finanțarea </w:t>
            </w:r>
            <w:r w:rsidR="00DA1056" w:rsidRPr="00BD13FE">
              <w:rPr>
                <w:rFonts w:ascii="Times New Roman" w:hAnsi="Times New Roman" w:cs="Times New Roman"/>
                <w:sz w:val="24"/>
                <w:szCs w:val="24"/>
                <w:lang w:eastAsia="ro-RO"/>
              </w:rPr>
              <w:t>cheltuielilor</w:t>
            </w:r>
            <w:r w:rsidR="00227E31" w:rsidRPr="00BD13FE">
              <w:rPr>
                <w:rFonts w:ascii="Times New Roman" w:hAnsi="Times New Roman" w:cs="Times New Roman"/>
                <w:sz w:val="24"/>
                <w:szCs w:val="24"/>
                <w:lang w:eastAsia="ro-RO"/>
              </w:rPr>
              <w:t xml:space="preserve"> curente</w:t>
            </w:r>
            <w:r w:rsidR="00DA1056" w:rsidRPr="00BD13FE">
              <w:rPr>
                <w:rFonts w:ascii="Times New Roman" w:hAnsi="Times New Roman" w:cs="Times New Roman"/>
                <w:sz w:val="24"/>
                <w:szCs w:val="24"/>
                <w:lang w:eastAsia="ro-RO"/>
              </w:rPr>
              <w:t xml:space="preserve"> </w:t>
            </w:r>
            <w:r w:rsidR="00227E31" w:rsidRPr="00BD13FE">
              <w:rPr>
                <w:rFonts w:ascii="Times New Roman" w:hAnsi="Times New Roman" w:cs="Times New Roman"/>
                <w:sz w:val="24"/>
                <w:szCs w:val="24"/>
                <w:lang w:eastAsia="ro-RO"/>
              </w:rPr>
              <w:t>pentru asigurarea funcționării acestui serviciu</w:t>
            </w:r>
            <w:r w:rsidR="007F0D01" w:rsidRPr="00BD13FE">
              <w:rPr>
                <w:rFonts w:ascii="Times New Roman" w:hAnsi="Times New Roman" w:cs="Times New Roman"/>
                <w:sz w:val="24"/>
                <w:szCs w:val="24"/>
                <w:lang w:eastAsia="ro-RO"/>
              </w:rPr>
              <w:t>, respectiv pentru constituirea stocurilor de combustibil, plata facturilor restante și acoperirea pierderilor induse de prestarea serviciului de termoficare.</w:t>
            </w:r>
          </w:p>
          <w:p w:rsidR="00DA1056" w:rsidRPr="00BD13FE" w:rsidRDefault="007F0D01" w:rsidP="009B117D">
            <w:pPr>
              <w:ind w:left="-3"/>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 xml:space="preserve">Întrucât </w:t>
            </w:r>
            <w:r w:rsidR="004F22FB" w:rsidRPr="00BD13FE">
              <w:rPr>
                <w:rFonts w:ascii="Times New Roman" w:hAnsi="Times New Roman" w:cs="Times New Roman"/>
                <w:sz w:val="24"/>
                <w:szCs w:val="24"/>
                <w:lang w:eastAsia="ro-RO"/>
              </w:rPr>
              <w:t>disponibilitățile Fondului de rezervă bugetară la dispoziția Guvernului nu permit</w:t>
            </w:r>
            <w:r w:rsidRPr="00BD13FE">
              <w:rPr>
                <w:rFonts w:ascii="Times New Roman" w:hAnsi="Times New Roman" w:cs="Times New Roman"/>
                <w:sz w:val="24"/>
                <w:szCs w:val="24"/>
                <w:lang w:eastAsia="ro-RO"/>
              </w:rPr>
              <w:t xml:space="preserve"> </w:t>
            </w:r>
            <w:r w:rsidR="0041080F" w:rsidRPr="00BD13FE">
              <w:rPr>
                <w:rFonts w:ascii="Times New Roman" w:hAnsi="Times New Roman" w:cs="Times New Roman"/>
                <w:sz w:val="24"/>
                <w:szCs w:val="24"/>
                <w:lang w:eastAsia="ro-RO"/>
              </w:rPr>
              <w:t>asigurarea sumelor solicitate,</w:t>
            </w:r>
            <w:r w:rsidR="00500B39" w:rsidRPr="00BD13FE">
              <w:rPr>
                <w:rFonts w:ascii="Times New Roman" w:hAnsi="Times New Roman" w:cs="Times New Roman"/>
                <w:sz w:val="24"/>
                <w:szCs w:val="24"/>
                <w:lang w:eastAsia="ro-RO"/>
              </w:rPr>
              <w:t xml:space="preserve"> </w:t>
            </w:r>
            <w:r w:rsidR="0041080F" w:rsidRPr="00BD13FE">
              <w:rPr>
                <w:rFonts w:ascii="Times New Roman" w:hAnsi="Times New Roman" w:cs="Times New Roman"/>
                <w:sz w:val="24"/>
                <w:szCs w:val="24"/>
                <w:lang w:eastAsia="ro-RO"/>
              </w:rPr>
              <w:t xml:space="preserve">care sunt de aproximativ </w:t>
            </w:r>
            <w:r w:rsidR="00140630" w:rsidRPr="00BD13FE">
              <w:rPr>
                <w:rFonts w:ascii="Times New Roman" w:hAnsi="Times New Roman" w:cs="Times New Roman"/>
                <w:sz w:val="24"/>
                <w:szCs w:val="24"/>
                <w:lang w:eastAsia="ro-RO"/>
              </w:rPr>
              <w:t>450</w:t>
            </w:r>
            <w:r w:rsidR="0041080F" w:rsidRPr="00BD13FE">
              <w:rPr>
                <w:rFonts w:ascii="Times New Roman" w:hAnsi="Times New Roman" w:cs="Times New Roman"/>
                <w:sz w:val="24"/>
                <w:szCs w:val="24"/>
                <w:lang w:eastAsia="ro-RO"/>
              </w:rPr>
              <w:t xml:space="preserve"> milioane lei, este necesar </w:t>
            </w:r>
            <w:r w:rsidR="005D32AC" w:rsidRPr="00BD13FE">
              <w:rPr>
                <w:rFonts w:ascii="Times New Roman" w:hAnsi="Times New Roman" w:cs="Times New Roman"/>
                <w:sz w:val="24"/>
                <w:szCs w:val="24"/>
                <w:lang w:eastAsia="ro-RO"/>
              </w:rPr>
              <w:t xml:space="preserve">a se crea cadrul legal pentru ca </w:t>
            </w:r>
            <w:r w:rsidR="00500B39" w:rsidRPr="00BD13FE">
              <w:rPr>
                <w:rFonts w:ascii="Times New Roman" w:hAnsi="Times New Roman" w:cs="Times New Roman"/>
                <w:sz w:val="24"/>
                <w:szCs w:val="24"/>
                <w:lang w:eastAsia="ro-RO"/>
              </w:rPr>
              <w:t>autoritățile</w:t>
            </w:r>
            <w:r w:rsidR="00DA1056" w:rsidRPr="00BD13FE">
              <w:rPr>
                <w:rFonts w:ascii="Times New Roman" w:hAnsi="Times New Roman" w:cs="Times New Roman"/>
                <w:sz w:val="24"/>
                <w:szCs w:val="24"/>
                <w:lang w:eastAsia="ro-RO"/>
              </w:rPr>
              <w:t xml:space="preserve"> publice locale</w:t>
            </w:r>
            <w:r w:rsidR="005D32AC" w:rsidRPr="00BD13FE">
              <w:rPr>
                <w:rFonts w:ascii="Times New Roman" w:hAnsi="Times New Roman" w:cs="Times New Roman"/>
                <w:sz w:val="24"/>
                <w:szCs w:val="24"/>
                <w:lang w:eastAsia="ro-RO"/>
              </w:rPr>
              <w:t xml:space="preserve"> să </w:t>
            </w:r>
            <w:r w:rsidR="00DA1056" w:rsidRPr="00BD13FE">
              <w:rPr>
                <w:rFonts w:ascii="Times New Roman" w:hAnsi="Times New Roman" w:cs="Times New Roman"/>
                <w:sz w:val="24"/>
                <w:szCs w:val="24"/>
                <w:lang w:eastAsia="ro-RO"/>
              </w:rPr>
              <w:t xml:space="preserve"> po</w:t>
            </w:r>
            <w:r w:rsidR="005D32AC" w:rsidRPr="00BD13FE">
              <w:rPr>
                <w:rFonts w:ascii="Times New Roman" w:hAnsi="Times New Roman" w:cs="Times New Roman"/>
                <w:sz w:val="24"/>
                <w:szCs w:val="24"/>
                <w:lang w:eastAsia="ro-RO"/>
              </w:rPr>
              <w:t>a</w:t>
            </w:r>
            <w:r w:rsidR="00DA1056" w:rsidRPr="00BD13FE">
              <w:rPr>
                <w:rFonts w:ascii="Times New Roman" w:hAnsi="Times New Roman" w:cs="Times New Roman"/>
                <w:sz w:val="24"/>
                <w:szCs w:val="24"/>
                <w:lang w:eastAsia="ro-RO"/>
              </w:rPr>
              <w:t>t</w:t>
            </w:r>
            <w:r w:rsidR="005D32AC" w:rsidRPr="00BD13FE">
              <w:rPr>
                <w:rFonts w:ascii="Times New Roman" w:hAnsi="Times New Roman" w:cs="Times New Roman"/>
                <w:sz w:val="24"/>
                <w:szCs w:val="24"/>
                <w:lang w:eastAsia="ro-RO"/>
              </w:rPr>
              <w:t>ă</w:t>
            </w:r>
            <w:r w:rsidR="00DA1056" w:rsidRPr="00BD13FE">
              <w:rPr>
                <w:rFonts w:ascii="Times New Roman" w:hAnsi="Times New Roman" w:cs="Times New Roman"/>
                <w:sz w:val="24"/>
                <w:szCs w:val="24"/>
                <w:lang w:eastAsia="ro-RO"/>
              </w:rPr>
              <w:t xml:space="preserve"> accesa </w:t>
            </w:r>
            <w:r w:rsidR="005D32AC" w:rsidRPr="00BD13FE">
              <w:rPr>
                <w:rFonts w:ascii="Times New Roman" w:hAnsi="Times New Roman" w:cs="Times New Roman"/>
                <w:sz w:val="24"/>
                <w:szCs w:val="24"/>
                <w:lang w:eastAsia="ro-RO"/>
              </w:rPr>
              <w:t xml:space="preserve">împrumuturi și pentru cheltuieli curente de natura celor menționate, </w:t>
            </w:r>
            <w:r w:rsidR="009B117D" w:rsidRPr="00BD13FE">
              <w:rPr>
                <w:rFonts w:ascii="Times New Roman" w:hAnsi="Times New Roman" w:cs="Times New Roman"/>
                <w:sz w:val="24"/>
                <w:szCs w:val="24"/>
                <w:lang w:eastAsia="ro-RO"/>
              </w:rPr>
              <w:t>d</w:t>
            </w:r>
            <w:r w:rsidR="005D32AC" w:rsidRPr="00BD13FE">
              <w:rPr>
                <w:rFonts w:ascii="Times New Roman" w:hAnsi="Times New Roman" w:cs="Times New Roman"/>
                <w:sz w:val="24"/>
                <w:szCs w:val="24"/>
                <w:lang w:eastAsia="ro-RO"/>
              </w:rPr>
              <w:t>eoarece</w:t>
            </w:r>
            <w:r w:rsidR="009B117D" w:rsidRPr="00BD13FE">
              <w:rPr>
                <w:rFonts w:ascii="Times New Roman" w:hAnsi="Times New Roman" w:cs="Times New Roman"/>
                <w:sz w:val="24"/>
                <w:szCs w:val="24"/>
                <w:lang w:eastAsia="ro-RO"/>
              </w:rPr>
              <w:t xml:space="preserve"> în prezent acestea pot contracta împrumuturi</w:t>
            </w:r>
            <w:r w:rsidR="00DA1056" w:rsidRPr="00BD13FE">
              <w:rPr>
                <w:rFonts w:ascii="Times New Roman" w:hAnsi="Times New Roman" w:cs="Times New Roman"/>
                <w:sz w:val="24"/>
                <w:szCs w:val="24"/>
                <w:lang w:eastAsia="ro-RO"/>
              </w:rPr>
              <w:t xml:space="preserve"> numai pentru cheltuieli de capital</w:t>
            </w:r>
            <w:r w:rsidR="009B117D" w:rsidRPr="00BD13FE">
              <w:rPr>
                <w:rFonts w:ascii="Times New Roman" w:hAnsi="Times New Roman" w:cs="Times New Roman"/>
                <w:sz w:val="24"/>
                <w:szCs w:val="24"/>
                <w:lang w:eastAsia="ro-RO"/>
              </w:rPr>
              <w:t>.</w:t>
            </w:r>
          </w:p>
          <w:p w:rsidR="00E10817" w:rsidRPr="00BD13FE" w:rsidRDefault="00476274" w:rsidP="000849ED">
            <w:pPr>
              <w:ind w:firstLine="499"/>
              <w:contextualSpacing/>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Î</w:t>
            </w:r>
            <w:r w:rsidR="00E10817" w:rsidRPr="00BD13FE">
              <w:rPr>
                <w:rFonts w:ascii="Times New Roman" w:hAnsi="Times New Roman" w:cs="Times New Roman"/>
                <w:sz w:val="24"/>
                <w:szCs w:val="24"/>
                <w:lang w:eastAsia="ro-RO"/>
              </w:rPr>
              <w:t xml:space="preserve">n anul 2018, în urma aprobării </w:t>
            </w:r>
            <w:r w:rsidR="004C12D9" w:rsidRPr="00BD13FE">
              <w:rPr>
                <w:rFonts w:ascii="Times New Roman" w:hAnsi="Times New Roman" w:cs="Times New Roman"/>
                <w:sz w:val="24"/>
                <w:szCs w:val="24"/>
                <w:lang w:eastAsia="ro-RO"/>
              </w:rPr>
              <w:t xml:space="preserve">prin legea bugetului de stat pe anul 2018 a </w:t>
            </w:r>
            <w:r w:rsidR="00E10817" w:rsidRPr="00BD13FE">
              <w:rPr>
                <w:rFonts w:ascii="Times New Roman" w:hAnsi="Times New Roman" w:cs="Times New Roman"/>
                <w:sz w:val="24"/>
                <w:szCs w:val="24"/>
                <w:lang w:eastAsia="ro-RO"/>
              </w:rPr>
              <w:t xml:space="preserve">unei noi modalități de </w:t>
            </w:r>
            <w:r w:rsidR="004C12D9" w:rsidRPr="00BD13FE">
              <w:rPr>
                <w:rFonts w:ascii="Times New Roman" w:hAnsi="Times New Roman" w:cs="Times New Roman"/>
                <w:sz w:val="24"/>
                <w:szCs w:val="24"/>
                <w:lang w:eastAsia="ro-RO"/>
              </w:rPr>
              <w:t>alocare</w:t>
            </w:r>
            <w:r w:rsidR="00E10817" w:rsidRPr="00BD13FE">
              <w:rPr>
                <w:rFonts w:ascii="Times New Roman" w:hAnsi="Times New Roman" w:cs="Times New Roman"/>
                <w:sz w:val="24"/>
                <w:szCs w:val="24"/>
                <w:lang w:eastAsia="ro-RO"/>
              </w:rPr>
              <w:t xml:space="preserve"> a sumelor din impozitul pe venit și din taxa pe valoarea adăugată </w:t>
            </w:r>
            <w:r w:rsidR="004C12D9" w:rsidRPr="00BD13FE">
              <w:rPr>
                <w:rFonts w:ascii="Times New Roman" w:hAnsi="Times New Roman" w:cs="Times New Roman"/>
                <w:sz w:val="24"/>
                <w:szCs w:val="24"/>
                <w:lang w:eastAsia="ro-RO"/>
              </w:rPr>
              <w:t xml:space="preserve">pentru echilibrarea bugetelor locale, </w:t>
            </w:r>
            <w:r w:rsidR="00E10817" w:rsidRPr="00BD13FE">
              <w:rPr>
                <w:rFonts w:ascii="Times New Roman" w:hAnsi="Times New Roman" w:cs="Times New Roman"/>
                <w:sz w:val="24"/>
                <w:szCs w:val="24"/>
                <w:lang w:eastAsia="ro-RO"/>
              </w:rPr>
              <w:t xml:space="preserve">au fost înregistrate sesizări de la </w:t>
            </w:r>
            <w:r w:rsidR="007863D7" w:rsidRPr="00BD13FE">
              <w:rPr>
                <w:rFonts w:ascii="Times New Roman" w:hAnsi="Times New Roman" w:cs="Times New Roman"/>
                <w:sz w:val="24"/>
                <w:szCs w:val="24"/>
                <w:lang w:eastAsia="ro-RO"/>
              </w:rPr>
              <w:t>autoritățile administrației publice locale</w:t>
            </w:r>
            <w:r w:rsidR="00E10817" w:rsidRPr="00BD13FE">
              <w:rPr>
                <w:rFonts w:ascii="Times New Roman" w:hAnsi="Times New Roman" w:cs="Times New Roman"/>
                <w:sz w:val="24"/>
                <w:szCs w:val="24"/>
                <w:lang w:eastAsia="ro-RO"/>
              </w:rPr>
              <w:t xml:space="preserve"> </w:t>
            </w:r>
            <w:r w:rsidR="004C12D9" w:rsidRPr="00BD13FE">
              <w:rPr>
                <w:rFonts w:ascii="Times New Roman" w:hAnsi="Times New Roman" w:cs="Times New Roman"/>
                <w:sz w:val="24"/>
                <w:szCs w:val="24"/>
                <w:lang w:eastAsia="ro-RO"/>
              </w:rPr>
              <w:t xml:space="preserve">cu privire la insuficiența sumelor repartizate </w:t>
            </w:r>
            <w:r w:rsidR="00E10817" w:rsidRPr="00BD13FE">
              <w:rPr>
                <w:rFonts w:ascii="Times New Roman" w:hAnsi="Times New Roman" w:cs="Times New Roman"/>
                <w:sz w:val="24"/>
                <w:szCs w:val="24"/>
                <w:lang w:eastAsia="ro-RO"/>
              </w:rPr>
              <w:t>pentru asigurarea cheltuielilor de funcționare</w:t>
            </w:r>
            <w:r w:rsidR="00D04B55" w:rsidRPr="00BD13FE">
              <w:rPr>
                <w:rFonts w:ascii="Times New Roman" w:hAnsi="Times New Roman" w:cs="Times New Roman"/>
                <w:sz w:val="24"/>
                <w:szCs w:val="24"/>
                <w:lang w:eastAsia="ro-RO"/>
              </w:rPr>
              <w:t xml:space="preserve"> și solicită crearea cadrului legal care să le permită utilizarea excedentului bugetului local</w:t>
            </w:r>
            <w:r w:rsidR="007863D7" w:rsidRPr="00BD13FE">
              <w:rPr>
                <w:rFonts w:ascii="Times New Roman" w:hAnsi="Times New Roman" w:cs="Times New Roman"/>
                <w:sz w:val="24"/>
                <w:szCs w:val="24"/>
                <w:lang w:eastAsia="ro-RO"/>
              </w:rPr>
              <w:t xml:space="preserve"> și pentru alte categorii de cheltuieli de natura bunurilor și serviciilor, subvenții pentru energia termică ș.a.</w:t>
            </w:r>
            <w:r w:rsidR="00E10817" w:rsidRPr="00BD13FE">
              <w:rPr>
                <w:rFonts w:ascii="Times New Roman" w:hAnsi="Times New Roman" w:cs="Times New Roman"/>
                <w:sz w:val="24"/>
                <w:szCs w:val="24"/>
                <w:lang w:eastAsia="ro-RO"/>
              </w:rPr>
              <w:t xml:space="preserve"> </w:t>
            </w:r>
          </w:p>
          <w:p w:rsidR="00E10817" w:rsidRPr="00BD13FE" w:rsidRDefault="004C12D9" w:rsidP="000849ED">
            <w:pPr>
              <w:ind w:firstLine="499"/>
              <w:contextualSpacing/>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În prezent există posibilitatea ca unitățile administrativ-teritoriale care înregistrează e</w:t>
            </w:r>
            <w:r w:rsidR="00E10817" w:rsidRPr="00BD13FE">
              <w:rPr>
                <w:rFonts w:ascii="Times New Roman" w:hAnsi="Times New Roman" w:cs="Times New Roman"/>
                <w:sz w:val="24"/>
                <w:szCs w:val="24"/>
                <w:lang w:eastAsia="ro-RO"/>
              </w:rPr>
              <w:t xml:space="preserve">xcedent </w:t>
            </w:r>
            <w:r w:rsidRPr="00BD13FE">
              <w:rPr>
                <w:rFonts w:ascii="Times New Roman" w:hAnsi="Times New Roman" w:cs="Times New Roman"/>
                <w:sz w:val="24"/>
                <w:szCs w:val="24"/>
                <w:lang w:eastAsia="ro-RO"/>
              </w:rPr>
              <w:t xml:space="preserve">al </w:t>
            </w:r>
            <w:r w:rsidR="00E10817" w:rsidRPr="00BD13FE">
              <w:rPr>
                <w:rFonts w:ascii="Times New Roman" w:hAnsi="Times New Roman" w:cs="Times New Roman"/>
                <w:sz w:val="24"/>
                <w:szCs w:val="24"/>
                <w:lang w:eastAsia="ro-RO"/>
              </w:rPr>
              <w:t>bugetului local din anii precedenți s</w:t>
            </w:r>
            <w:r w:rsidRPr="00BD13FE">
              <w:rPr>
                <w:rFonts w:ascii="Times New Roman" w:hAnsi="Times New Roman" w:cs="Times New Roman"/>
                <w:sz w:val="24"/>
                <w:szCs w:val="24"/>
                <w:lang w:eastAsia="ro-RO"/>
              </w:rPr>
              <w:t>ă utilizeze acest excedent numai</w:t>
            </w:r>
            <w:r w:rsidR="00E10817" w:rsidRPr="00BD13FE">
              <w:rPr>
                <w:rFonts w:ascii="Times New Roman" w:hAnsi="Times New Roman" w:cs="Times New Roman"/>
                <w:sz w:val="24"/>
                <w:szCs w:val="24"/>
                <w:lang w:eastAsia="ro-RO"/>
              </w:rPr>
              <w:t xml:space="preserve"> pentru</w:t>
            </w:r>
            <w:r w:rsidRPr="00BD13FE">
              <w:rPr>
                <w:rFonts w:ascii="Times New Roman" w:hAnsi="Times New Roman" w:cs="Times New Roman"/>
                <w:sz w:val="24"/>
                <w:szCs w:val="24"/>
                <w:lang w:eastAsia="ro-RO"/>
              </w:rPr>
              <w:t xml:space="preserve"> anumite categorii de</w:t>
            </w:r>
            <w:r w:rsidR="00E10817" w:rsidRPr="00BD13FE">
              <w:rPr>
                <w:rFonts w:ascii="Times New Roman" w:hAnsi="Times New Roman" w:cs="Times New Roman"/>
                <w:sz w:val="24"/>
                <w:szCs w:val="24"/>
                <w:lang w:eastAsia="ro-RO"/>
              </w:rPr>
              <w:t xml:space="preserve"> cheltuieli </w:t>
            </w:r>
            <w:r w:rsidRPr="00BD13FE">
              <w:rPr>
                <w:rFonts w:ascii="Times New Roman" w:hAnsi="Times New Roman" w:cs="Times New Roman"/>
                <w:sz w:val="24"/>
                <w:szCs w:val="24"/>
                <w:lang w:eastAsia="ro-RO"/>
              </w:rPr>
              <w:t>aferente secțiunii</w:t>
            </w:r>
            <w:r w:rsidR="00E10817" w:rsidRPr="00BD13FE">
              <w:rPr>
                <w:rFonts w:ascii="Times New Roman" w:hAnsi="Times New Roman" w:cs="Times New Roman"/>
                <w:sz w:val="24"/>
                <w:szCs w:val="24"/>
                <w:lang w:eastAsia="ro-RO"/>
              </w:rPr>
              <w:t xml:space="preserve"> </w:t>
            </w:r>
            <w:r w:rsidR="00D04B55" w:rsidRPr="00BD13FE">
              <w:rPr>
                <w:rFonts w:ascii="Times New Roman" w:hAnsi="Times New Roman" w:cs="Times New Roman"/>
                <w:sz w:val="24"/>
                <w:szCs w:val="24"/>
                <w:lang w:eastAsia="ro-RO"/>
              </w:rPr>
              <w:t xml:space="preserve">de </w:t>
            </w:r>
            <w:r w:rsidR="00E10817" w:rsidRPr="00BD13FE">
              <w:rPr>
                <w:rFonts w:ascii="Times New Roman" w:hAnsi="Times New Roman" w:cs="Times New Roman"/>
                <w:sz w:val="24"/>
                <w:szCs w:val="24"/>
                <w:lang w:eastAsia="ro-RO"/>
              </w:rPr>
              <w:t>funcționare</w:t>
            </w:r>
            <w:r w:rsidRPr="00BD13FE">
              <w:rPr>
                <w:rFonts w:ascii="Times New Roman" w:hAnsi="Times New Roman" w:cs="Times New Roman"/>
                <w:sz w:val="24"/>
                <w:szCs w:val="24"/>
                <w:lang w:eastAsia="ro-RO"/>
              </w:rPr>
              <w:t xml:space="preserve"> a bugetelor locale</w:t>
            </w:r>
            <w:r w:rsidR="006C1D46" w:rsidRPr="00BD13FE">
              <w:rPr>
                <w:rFonts w:ascii="Times New Roman" w:hAnsi="Times New Roman" w:cs="Times New Roman"/>
                <w:sz w:val="24"/>
                <w:szCs w:val="24"/>
                <w:lang w:eastAsia="ro-RO"/>
              </w:rPr>
              <w:t>,</w:t>
            </w:r>
            <w:r w:rsidR="007863D7" w:rsidRPr="00BD13FE">
              <w:rPr>
                <w:rFonts w:ascii="Times New Roman" w:hAnsi="Times New Roman" w:cs="Times New Roman"/>
                <w:sz w:val="24"/>
                <w:szCs w:val="24"/>
                <w:lang w:eastAsia="ro-RO"/>
              </w:rPr>
              <w:t xml:space="preserve"> </w:t>
            </w:r>
            <w:r w:rsidR="006C1D46" w:rsidRPr="00BD13FE">
              <w:rPr>
                <w:rFonts w:ascii="Times New Roman" w:hAnsi="Times New Roman" w:cs="Times New Roman"/>
                <w:sz w:val="24"/>
                <w:szCs w:val="24"/>
                <w:lang w:eastAsia="ro-RO"/>
              </w:rPr>
              <w:t xml:space="preserve">respectiv pentru cheltuieli cu personalul, corecțiile financiare aferente proiectelor, sentințele civile definitive, plata arieratelor, rambursarea împrumuturilor contractate, numai în cazul în care </w:t>
            </w:r>
            <w:r w:rsidR="00D04B55" w:rsidRPr="00BD13FE">
              <w:rPr>
                <w:rFonts w:ascii="Times New Roman" w:hAnsi="Times New Roman" w:cs="Times New Roman"/>
                <w:sz w:val="24"/>
                <w:szCs w:val="24"/>
                <w:lang w:eastAsia="ro-RO"/>
              </w:rPr>
              <w:t>din veniturile proprii și din sumele defalcate din taxa pe valoarea adăugată pentru echilibrarea bugetelor locale nu pot acoperi aceste categorii de cheltuieli.</w:t>
            </w:r>
          </w:p>
          <w:p w:rsidR="003C489F" w:rsidRPr="00BD13FE" w:rsidRDefault="003C489F" w:rsidP="000849ED">
            <w:pPr>
              <w:ind w:firstLine="499"/>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89F" w:rsidRPr="00BD13FE" w:rsidRDefault="0069016A" w:rsidP="003C489F">
            <w:pPr>
              <w:ind w:right="142"/>
              <w:jc w:val="both"/>
              <w:rPr>
                <w:rFonts w:ascii="Times New Roman" w:hAnsi="Times New Roman" w:cs="Times New Roman"/>
                <w:b/>
                <w:sz w:val="24"/>
                <w:szCs w:val="24"/>
              </w:rPr>
            </w:pPr>
            <w:r w:rsidRPr="00BD13FE">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27932" w:rsidRPr="00BD13FE">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489F"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489F" w:rsidRPr="00BD13FE">
              <w:rPr>
                <w:rFonts w:ascii="Times New Roman" w:hAnsi="Times New Roman" w:cs="Times New Roman"/>
                <w:b/>
                <w:sz w:val="24"/>
                <w:szCs w:val="24"/>
              </w:rPr>
              <w:t>Legea nr. 227/2015 privind Codul fiscal, cu modificările și completările ulterioare</w:t>
            </w:r>
          </w:p>
          <w:p w:rsidR="00E349D0" w:rsidRPr="00BD13FE" w:rsidRDefault="00E349D0" w:rsidP="003C489F">
            <w:pPr>
              <w:ind w:right="142"/>
              <w:jc w:val="both"/>
              <w:rPr>
                <w:rFonts w:ascii="Times New Roman" w:hAnsi="Times New Roman" w:cs="Times New Roman"/>
                <w:b/>
                <w:sz w:val="24"/>
                <w:szCs w:val="24"/>
              </w:rPr>
            </w:pPr>
          </w:p>
          <w:p w:rsidR="00E349D0" w:rsidRPr="00BD13FE" w:rsidRDefault="00E349D0" w:rsidP="003C489F">
            <w:pPr>
              <w:ind w:right="142"/>
              <w:jc w:val="both"/>
              <w:rPr>
                <w:rFonts w:ascii="Times New Roman" w:hAnsi="Times New Roman" w:cs="Times New Roman"/>
                <w:b/>
                <w:sz w:val="24"/>
                <w:szCs w:val="24"/>
              </w:rPr>
            </w:pPr>
            <w:r w:rsidRPr="00BD13FE">
              <w:rPr>
                <w:rFonts w:ascii="Times New Roman" w:hAnsi="Times New Roman" w:cs="Times New Roman"/>
                <w:b/>
                <w:sz w:val="24"/>
                <w:szCs w:val="24"/>
              </w:rPr>
              <w:t xml:space="preserve">         Titlul II  - Impozitul pe profit </w:t>
            </w:r>
          </w:p>
          <w:p w:rsidR="00E349D0" w:rsidRPr="00BD13FE" w:rsidRDefault="00E349D0" w:rsidP="00E349D0">
            <w:pPr>
              <w:suppressAutoHyphens/>
              <w:spacing w:line="240" w:lineRule="atLeast"/>
              <w:ind w:right="142"/>
              <w:jc w:val="both"/>
              <w:rPr>
                <w:rFonts w:ascii="Times New Roman" w:hAnsi="Times New Roman" w:cs="Times New Roman"/>
                <w:sz w:val="24"/>
                <w:szCs w:val="24"/>
                <w:lang w:eastAsia="ro-RO"/>
              </w:rPr>
            </w:pPr>
            <w:r w:rsidRPr="00BD13FE">
              <w:rPr>
                <w:rFonts w:ascii="Times New Roman" w:hAnsi="Times New Roman" w:cs="Times New Roman"/>
                <w:b/>
                <w:sz w:val="24"/>
                <w:szCs w:val="24"/>
              </w:rPr>
              <w:t xml:space="preserve">       </w:t>
            </w:r>
            <w:r w:rsidRPr="00BD13FE">
              <w:rPr>
                <w:rFonts w:ascii="Times New Roman" w:hAnsi="Times New Roman" w:cs="Times New Roman"/>
                <w:bCs/>
                <w:sz w:val="24"/>
                <w:szCs w:val="24"/>
                <w:lang w:eastAsia="ro-RO"/>
              </w:rPr>
              <w:t>Potrivit regulii generale,</w:t>
            </w:r>
            <w:r w:rsidRPr="00BD13FE">
              <w:rPr>
                <w:rFonts w:ascii="Times New Roman" w:hAnsi="Times New Roman" w:cs="Times New Roman"/>
                <w:b/>
                <w:bCs/>
                <w:sz w:val="24"/>
                <w:szCs w:val="24"/>
                <w:lang w:eastAsia="ro-RO"/>
              </w:rPr>
              <w:t xml:space="preserve"> </w:t>
            </w:r>
            <w:r w:rsidRPr="00BD13FE">
              <w:rPr>
                <w:rFonts w:ascii="Times New Roman" w:hAnsi="Times New Roman" w:cs="Times New Roman"/>
                <w:bCs/>
                <w:sz w:val="24"/>
                <w:szCs w:val="24"/>
                <w:lang w:eastAsia="ro-RO"/>
              </w:rPr>
              <w:t>r</w:t>
            </w:r>
            <w:r w:rsidRPr="00BD13FE">
              <w:rPr>
                <w:rFonts w:ascii="Times New Roman" w:hAnsi="Times New Roman" w:cs="Times New Roman"/>
                <w:sz w:val="24"/>
                <w:szCs w:val="24"/>
                <w:lang w:eastAsia="ro-RO"/>
              </w:rPr>
              <w:t xml:space="preserve">ezultatul fiscal se calculează ca diferenţă între veniturile şi cheltuielile înregistrate conform reglementărilor contabile aplicabile, din care se scad veniturile neimpozabile şi deducerile fiscale şi la care se adaugă cheltuielile nedeductibile. La stabilirea rezultatului fiscal se iau în calcul şi elemente similare veniturilor şi cheltuielilor, potrivit normelor metodologice, precum şi pierderi fiscale care se recuperează în conformitate cu prevederile art. 31. Prin urmare, modul de înregistrare a veniturilor și cheltuielilor potrivit reglementărilor contabile aplicabile are o importanță fundamentală în stabilirea rezultatului fiscal. Atunci când o operațiune patrimonială nu se reflectă pe venituri și cheltuieli, dar are natura acestora, se folosește conceptul fiscal de element similar veniturilor, respectiv </w:t>
            </w:r>
            <w:r w:rsidRPr="00BD13FE">
              <w:rPr>
                <w:rFonts w:ascii="Times New Roman" w:hAnsi="Times New Roman" w:cs="Times New Roman"/>
                <w:sz w:val="24"/>
                <w:szCs w:val="24"/>
                <w:lang w:eastAsia="ro-RO"/>
              </w:rPr>
              <w:lastRenderedPageBreak/>
              <w:t>cheltuielilor, aceste elemente fiind identificate, în mod expres, în cadrul normelor metodologice.</w:t>
            </w:r>
          </w:p>
          <w:p w:rsidR="00E349D0" w:rsidRPr="00BD13FE" w:rsidRDefault="00E349D0" w:rsidP="00E349D0">
            <w:pPr>
              <w:autoSpaceDE w:val="0"/>
              <w:ind w:right="142" w:firstLine="220"/>
              <w:jc w:val="both"/>
              <w:rPr>
                <w:rFonts w:ascii="Times New Roman" w:hAnsi="Times New Roman" w:cs="Times New Roman"/>
                <w:sz w:val="24"/>
                <w:szCs w:val="24"/>
              </w:rPr>
            </w:pPr>
            <w:r w:rsidRPr="00BD13FE">
              <w:rPr>
                <w:rFonts w:ascii="Times New Roman" w:hAnsi="Times New Roman" w:cs="Times New Roman"/>
                <w:sz w:val="24"/>
                <w:szCs w:val="24"/>
                <w:lang w:eastAsia="ro-RO"/>
              </w:rPr>
              <w:t xml:space="preserve">Pentru contribuabilii care aplică reglementările contabile conforme cu Standardele internaționale de raportare financiară, a fost implementat în anul 2018, standardul IFRS 9 ”Instrumente financiare”, care a determinat </w:t>
            </w:r>
            <w:r w:rsidRPr="00BD13FE">
              <w:rPr>
                <w:rFonts w:ascii="Times New Roman" w:hAnsi="Times New Roman" w:cs="Times New Roman"/>
                <w:sz w:val="24"/>
                <w:szCs w:val="24"/>
              </w:rPr>
              <w:t>schimbări ale înregistrării evaluărilor aduse activelor de această natură, respectiv:</w:t>
            </w:r>
          </w:p>
          <w:p w:rsidR="00E349D0" w:rsidRPr="00BD13FE" w:rsidRDefault="00E349D0" w:rsidP="00E349D0">
            <w:pPr>
              <w:autoSpaceDE w:val="0"/>
              <w:ind w:left="220" w:right="142"/>
              <w:jc w:val="both"/>
              <w:rPr>
                <w:rFonts w:ascii="Times New Roman" w:hAnsi="Times New Roman" w:cs="Times New Roman"/>
                <w:sz w:val="24"/>
                <w:szCs w:val="24"/>
              </w:rPr>
            </w:pPr>
            <w:r w:rsidRPr="00BD13FE">
              <w:rPr>
                <w:rFonts w:ascii="Times New Roman" w:hAnsi="Times New Roman" w:cs="Times New Roman"/>
                <w:sz w:val="24"/>
                <w:szCs w:val="24"/>
              </w:rPr>
              <w:t>- instrumentele de capitaluri proprii (în principal acțiuni) sunt evaluate la valoarea justă prin ”alte elemente ale rezultatului global” (elemente de natura rezervelor) sau prin ”profit și pierdere” (venituri sau cheltuieli, după caz);</w:t>
            </w:r>
          </w:p>
          <w:p w:rsidR="00E349D0" w:rsidRPr="00BD13FE" w:rsidRDefault="00E349D0" w:rsidP="00E349D0">
            <w:pPr>
              <w:autoSpaceDE w:val="0"/>
              <w:ind w:left="220" w:right="142"/>
              <w:jc w:val="both"/>
              <w:rPr>
                <w:rFonts w:ascii="Times New Roman" w:hAnsi="Times New Roman" w:cs="Times New Roman"/>
                <w:sz w:val="24"/>
                <w:szCs w:val="24"/>
              </w:rPr>
            </w:pPr>
            <w:r w:rsidRPr="00BD13FE">
              <w:rPr>
                <w:rFonts w:ascii="Times New Roman" w:hAnsi="Times New Roman" w:cs="Times New Roman"/>
                <w:sz w:val="24"/>
                <w:szCs w:val="24"/>
              </w:rPr>
              <w:t>- instrumentele de datorii (unități de fond, obligațiuni etc.) sunt evaluate la valoarea justă prin ”alte elemente ale rezultatului global” sau prin ”profit și pierdere”, după caz, respectiv la cost amortizat.</w:t>
            </w:r>
          </w:p>
          <w:p w:rsidR="00E349D0" w:rsidRPr="00BD13FE" w:rsidRDefault="00E349D0" w:rsidP="00E349D0">
            <w:pPr>
              <w:autoSpaceDE w:val="0"/>
              <w:ind w:right="142" w:firstLine="220"/>
              <w:jc w:val="both"/>
              <w:rPr>
                <w:rFonts w:ascii="Times New Roman" w:hAnsi="Times New Roman" w:cs="Times New Roman"/>
                <w:sz w:val="24"/>
                <w:szCs w:val="24"/>
              </w:rPr>
            </w:pPr>
            <w:r w:rsidRPr="00BD13FE">
              <w:rPr>
                <w:rFonts w:ascii="Times New Roman" w:hAnsi="Times New Roman" w:cs="Times New Roman"/>
                <w:sz w:val="24"/>
                <w:szCs w:val="24"/>
              </w:rPr>
              <w:t>Evaluarea la valoarea justă prin ”alte elemente ale rezultatului global” presupune că, atât pe perioada deținerii titlurilor cât și la vânzarea/cesionarea titlurilor de participare, câștigurile sau pierderile față de valoarea de achiziție/aport nu se mai reflectă pe seama veniturilor/cheltuielilor contribuabilului.</w:t>
            </w:r>
          </w:p>
          <w:p w:rsidR="00E349D0" w:rsidRPr="00BD13FE" w:rsidRDefault="00E349D0" w:rsidP="00E349D0">
            <w:pPr>
              <w:autoSpaceDE w:val="0"/>
              <w:ind w:right="142" w:firstLine="220"/>
              <w:jc w:val="both"/>
              <w:rPr>
                <w:rFonts w:ascii="Times New Roman" w:hAnsi="Times New Roman" w:cs="Times New Roman"/>
                <w:sz w:val="24"/>
                <w:szCs w:val="24"/>
              </w:rPr>
            </w:pPr>
            <w:r w:rsidRPr="00BD13FE">
              <w:rPr>
                <w:rFonts w:ascii="Times New Roman" w:hAnsi="Times New Roman" w:cs="Times New Roman"/>
                <w:sz w:val="24"/>
                <w:szCs w:val="24"/>
              </w:rPr>
              <w:t xml:space="preserve">Din această perspectivă este necesară stabilirea regimului fiscal al acestor evaluări, fiind propusă încadrarea acestora în categoria elementelor similare veniturilor sau cheltuielilor, la momentul vânzării/cesionării, moment în care, la calculul rezultatului fiscal, vor fi </w:t>
            </w:r>
            <w:r w:rsidRPr="00BD13FE">
              <w:rPr>
                <w:rFonts w:ascii="Times New Roman" w:hAnsi="Times New Roman" w:cs="Times New Roman"/>
                <w:strike/>
                <w:sz w:val="24"/>
                <w:szCs w:val="24"/>
              </w:rPr>
              <w:t xml:space="preserve"> </w:t>
            </w:r>
            <w:r w:rsidRPr="00BD13FE">
              <w:rPr>
                <w:rFonts w:ascii="Times New Roman" w:hAnsi="Times New Roman" w:cs="Times New Roman"/>
                <w:sz w:val="24"/>
                <w:szCs w:val="24"/>
              </w:rPr>
              <w:t>impozitate sau deduse, după caz.</w:t>
            </w:r>
          </w:p>
          <w:p w:rsidR="00E349D0" w:rsidRPr="00BD13FE" w:rsidRDefault="00E349D0" w:rsidP="00E349D0">
            <w:pPr>
              <w:autoSpaceDE w:val="0"/>
              <w:ind w:right="142" w:firstLine="220"/>
              <w:jc w:val="both"/>
              <w:rPr>
                <w:rFonts w:ascii="Times New Roman" w:hAnsi="Times New Roman" w:cs="Times New Roman"/>
                <w:sz w:val="24"/>
                <w:szCs w:val="24"/>
              </w:rPr>
            </w:pPr>
            <w:r w:rsidRPr="00BD13FE">
              <w:rPr>
                <w:rFonts w:ascii="Times New Roman" w:hAnsi="Times New Roman" w:cs="Times New Roman"/>
                <w:sz w:val="24"/>
                <w:szCs w:val="24"/>
              </w:rPr>
              <w:t>Tot ca urmare a implementării acestui standard IFRS, contribuabilii respectivi sunt obligați să efectueze anumite reclasificări ale acestor instrumente financiare, aspect care presupune, în principal, două operațiuni:</w:t>
            </w:r>
          </w:p>
          <w:p w:rsidR="00E349D0" w:rsidRPr="00BD13FE" w:rsidRDefault="00E349D0" w:rsidP="00E349D0">
            <w:pPr>
              <w:numPr>
                <w:ilvl w:val="0"/>
                <w:numId w:val="7"/>
              </w:numPr>
              <w:tabs>
                <w:tab w:val="clear" w:pos="405"/>
                <w:tab w:val="num" w:pos="0"/>
              </w:tabs>
              <w:suppressAutoHyphens/>
              <w:autoSpaceDE w:val="0"/>
              <w:ind w:left="720" w:right="142" w:hanging="360"/>
              <w:jc w:val="both"/>
              <w:rPr>
                <w:rFonts w:ascii="Times New Roman" w:hAnsi="Times New Roman" w:cs="Times New Roman"/>
                <w:sz w:val="24"/>
                <w:szCs w:val="24"/>
              </w:rPr>
            </w:pPr>
            <w:r w:rsidRPr="00BD13FE">
              <w:rPr>
                <w:rFonts w:ascii="Times New Roman" w:hAnsi="Times New Roman" w:cs="Times New Roman"/>
                <w:sz w:val="24"/>
                <w:szCs w:val="24"/>
              </w:rPr>
              <w:t>reluarea diferențelor de valoare justă înregistrate în rezerve prin intermediul conturilor de rezultat reportat;</w:t>
            </w:r>
          </w:p>
          <w:p w:rsidR="00E349D0" w:rsidRPr="00BD13FE" w:rsidRDefault="00E349D0" w:rsidP="00E349D0">
            <w:pPr>
              <w:numPr>
                <w:ilvl w:val="0"/>
                <w:numId w:val="7"/>
              </w:numPr>
              <w:tabs>
                <w:tab w:val="clear" w:pos="405"/>
                <w:tab w:val="num" w:pos="0"/>
              </w:tabs>
              <w:suppressAutoHyphens/>
              <w:autoSpaceDE w:val="0"/>
              <w:ind w:left="720" w:right="142" w:hanging="360"/>
              <w:jc w:val="both"/>
              <w:rPr>
                <w:rFonts w:ascii="Times New Roman" w:hAnsi="Times New Roman" w:cs="Times New Roman"/>
                <w:sz w:val="24"/>
                <w:szCs w:val="24"/>
              </w:rPr>
            </w:pPr>
            <w:r w:rsidRPr="00BD13FE">
              <w:rPr>
                <w:rFonts w:ascii="Times New Roman" w:hAnsi="Times New Roman" w:cs="Times New Roman"/>
                <w:sz w:val="24"/>
                <w:szCs w:val="24"/>
              </w:rPr>
              <w:t>reluarea deprecierilor înregistrate pe cheltuieli, anterior datei de 31.12.2017, prin intermediul creditului contului de rezultat reportat.</w:t>
            </w:r>
          </w:p>
          <w:p w:rsidR="00E349D0" w:rsidRPr="00BD13FE" w:rsidRDefault="00E349D0" w:rsidP="00E349D0">
            <w:pPr>
              <w:autoSpaceDE w:val="0"/>
              <w:ind w:right="142" w:firstLine="220"/>
              <w:jc w:val="both"/>
              <w:rPr>
                <w:rFonts w:ascii="Times New Roman" w:hAnsi="Times New Roman" w:cs="Times New Roman"/>
                <w:sz w:val="24"/>
                <w:szCs w:val="24"/>
              </w:rPr>
            </w:pPr>
            <w:r w:rsidRPr="00BD13FE">
              <w:rPr>
                <w:rFonts w:ascii="Times New Roman" w:hAnsi="Times New Roman" w:cs="Times New Roman"/>
                <w:sz w:val="24"/>
                <w:szCs w:val="24"/>
              </w:rPr>
              <w:t>Regimul fiscal propus pentru aceste operațiuni este similar celui prevăzut de art. 21 lit. b) și c) în cazul operațiunilor efectuate de contribuabilii care au implementat standardele IFRS ca bază a contabilității.</w:t>
            </w:r>
          </w:p>
          <w:p w:rsidR="00E349D0" w:rsidRPr="00BD13FE" w:rsidRDefault="00E349D0" w:rsidP="00E349D0">
            <w:pPr>
              <w:tabs>
                <w:tab w:val="left" w:pos="6911"/>
              </w:tabs>
              <w:autoSpaceDE w:val="0"/>
              <w:ind w:right="142" w:firstLine="220"/>
              <w:jc w:val="both"/>
              <w:rPr>
                <w:rFonts w:ascii="Times New Roman" w:hAnsi="Times New Roman" w:cs="Times New Roman"/>
                <w:sz w:val="24"/>
                <w:szCs w:val="24"/>
              </w:rPr>
            </w:pPr>
            <w:r w:rsidRPr="00BD13FE">
              <w:rPr>
                <w:rFonts w:ascii="Times New Roman" w:hAnsi="Times New Roman" w:cs="Times New Roman"/>
                <w:sz w:val="24"/>
                <w:szCs w:val="24"/>
              </w:rPr>
              <w:t>În acest context legal, se propune completarea art. 19 și a art. 21 cu prevederi privind regimul fiscal al operațiunilor patrimoniale determinate de schimbarea politicilor contabile ca urmare a adoptării de noi standarde IFRS.</w:t>
            </w:r>
          </w:p>
          <w:p w:rsidR="00E349D0" w:rsidRPr="00BD13FE" w:rsidRDefault="00E349D0" w:rsidP="00E349D0">
            <w:pPr>
              <w:ind w:right="142"/>
              <w:jc w:val="both"/>
              <w:rPr>
                <w:rFonts w:ascii="Times New Roman" w:hAnsi="Times New Roman" w:cs="Times New Roman"/>
                <w:b/>
                <w:sz w:val="24"/>
                <w:szCs w:val="24"/>
              </w:rPr>
            </w:pPr>
          </w:p>
          <w:p w:rsidR="00E349D0" w:rsidRPr="00BD13FE" w:rsidRDefault="00E349D0" w:rsidP="003C489F">
            <w:pPr>
              <w:ind w:right="142"/>
              <w:jc w:val="both"/>
              <w:rPr>
                <w:rFonts w:ascii="Times New Roman" w:hAnsi="Times New Roman" w:cs="Times New Roman"/>
                <w:b/>
                <w:sz w:val="24"/>
                <w:szCs w:val="24"/>
              </w:rPr>
            </w:pPr>
            <w:r w:rsidRPr="00BD13FE">
              <w:rPr>
                <w:rFonts w:ascii="Times New Roman" w:hAnsi="Times New Roman" w:cs="Times New Roman"/>
                <w:b/>
                <w:sz w:val="24"/>
                <w:szCs w:val="24"/>
              </w:rPr>
              <w:t xml:space="preserve">          Titlul IV - Impozit pe venit</w:t>
            </w:r>
          </w:p>
          <w:p w:rsidR="00E349D0" w:rsidRPr="00BD13FE" w:rsidRDefault="00E349D0" w:rsidP="00E349D0">
            <w:pPr>
              <w:ind w:left="59" w:right="86"/>
              <w:jc w:val="both"/>
              <w:rPr>
                <w:rFonts w:ascii="Times New Roman" w:eastAsia="Times New Roman" w:hAnsi="Times New Roman" w:cs="Times New Roman"/>
                <w:iCs/>
                <w:sz w:val="24"/>
                <w:szCs w:val="24"/>
              </w:rPr>
            </w:pPr>
            <w:r w:rsidRPr="00BD13FE">
              <w:rPr>
                <w:rFonts w:ascii="Times New Roman" w:eastAsia="Calibri" w:hAnsi="Times New Roman" w:cs="Times New Roman"/>
                <w:iCs/>
                <w:sz w:val="24"/>
                <w:szCs w:val="24"/>
              </w:rPr>
              <w:t xml:space="preserve"> În cazul impozitului pe venit, potrivit </w:t>
            </w:r>
            <w:r w:rsidRPr="00BD13FE">
              <w:rPr>
                <w:rFonts w:ascii="Times New Roman" w:hAnsi="Times New Roman" w:cs="Times New Roman"/>
                <w:sz w:val="24"/>
                <w:szCs w:val="24"/>
                <w:lang w:eastAsia="ro-RO"/>
              </w:rPr>
              <w:t>dispozițiilor actuale ale Codului fiscal, î</w:t>
            </w:r>
            <w:r w:rsidRPr="00BD13FE">
              <w:rPr>
                <w:rFonts w:ascii="Times New Roman" w:eastAsia="Calibri" w:hAnsi="Times New Roman" w:cs="Times New Roman"/>
                <w:iCs/>
                <w:sz w:val="24"/>
                <w:szCs w:val="24"/>
              </w:rPr>
              <w:t>n anul 2018 se acordă următoarele bonificaţii la plata impozitului pe venit:</w:t>
            </w:r>
          </w:p>
          <w:p w:rsidR="00E349D0" w:rsidRPr="00BD13FE" w:rsidRDefault="00E349D0" w:rsidP="00E349D0">
            <w:pPr>
              <w:ind w:left="59" w:right="86"/>
              <w:jc w:val="both"/>
              <w:rPr>
                <w:rFonts w:ascii="Times New Roman" w:eastAsia="Times New Roman" w:hAnsi="Times New Roman" w:cs="Times New Roman"/>
                <w:iCs/>
                <w:sz w:val="24"/>
                <w:szCs w:val="24"/>
              </w:rPr>
            </w:pPr>
            <w:r w:rsidRPr="00BD13FE">
              <w:rPr>
                <w:rFonts w:ascii="Times New Roman" w:eastAsia="Times New Roman" w:hAnsi="Times New Roman" w:cs="Times New Roman"/>
                <w:iCs/>
                <w:sz w:val="24"/>
                <w:szCs w:val="24"/>
              </w:rPr>
              <w:t xml:space="preserve">    </w:t>
            </w:r>
            <w:r w:rsidRPr="00BD13FE">
              <w:rPr>
                <w:rFonts w:ascii="Times New Roman" w:eastAsia="Calibri" w:hAnsi="Times New Roman" w:cs="Times New Roman"/>
                <w:iCs/>
                <w:sz w:val="24"/>
                <w:szCs w:val="24"/>
              </w:rPr>
              <w:t xml:space="preserve">a) pentru depunerea declaraţiei unice privind impozitul pe venit şi contribuţiile sociale datorate de persoanele fizice prin mijloace electronice de transmitere la distanţă, până la 15 iulie 2018 inclusiv, se acordă o bonificaţie de 5% din impozitul pe venit plătit integral până la 15 martie 2019 inclusiv, reprezentând obligaţiile fiscale </w:t>
            </w:r>
            <w:r w:rsidRPr="00BD13FE">
              <w:rPr>
                <w:rFonts w:ascii="Times New Roman" w:eastAsia="Calibri" w:hAnsi="Times New Roman" w:cs="Times New Roman"/>
                <w:iCs/>
                <w:sz w:val="24"/>
                <w:szCs w:val="24"/>
              </w:rPr>
              <w:lastRenderedPageBreak/>
              <w:t>anuale pentru anul 2018. Valoarea bonificaţiei diminuează impozitul pe venitul net anual plătit;</w:t>
            </w:r>
          </w:p>
          <w:p w:rsidR="00E349D0" w:rsidRPr="00BD13FE" w:rsidRDefault="00E349D0" w:rsidP="00E349D0">
            <w:pPr>
              <w:ind w:left="59" w:right="86"/>
              <w:jc w:val="both"/>
              <w:rPr>
                <w:rFonts w:ascii="Times New Roman" w:eastAsia="Calibri" w:hAnsi="Times New Roman" w:cs="Times New Roman"/>
                <w:b/>
                <w:i/>
                <w:iCs/>
                <w:sz w:val="24"/>
                <w:szCs w:val="24"/>
                <w:u w:val="single"/>
              </w:rPr>
            </w:pPr>
            <w:r w:rsidRPr="00BD13FE">
              <w:rPr>
                <w:rFonts w:ascii="Times New Roman" w:eastAsia="Times New Roman" w:hAnsi="Times New Roman" w:cs="Times New Roman"/>
                <w:iCs/>
                <w:sz w:val="24"/>
                <w:szCs w:val="24"/>
              </w:rPr>
              <w:t xml:space="preserve">      </w:t>
            </w:r>
            <w:r w:rsidRPr="00BD13FE">
              <w:rPr>
                <w:rFonts w:ascii="Times New Roman" w:eastAsia="Calibri" w:hAnsi="Times New Roman" w:cs="Times New Roman"/>
                <w:iCs/>
                <w:sz w:val="24"/>
                <w:szCs w:val="24"/>
              </w:rPr>
              <w:t>b) pentru plata cu anticipaţie a impozitului pe venit se acordă o bonificaţie de 5% din impozitul pe venit anual estimat plătit integral până la 15 decembrie 2018 inclusiv. Valoarea bonificaţiei diminuează impozitul pe venitul net anual estimat plătit</w:t>
            </w:r>
            <w:r w:rsidRPr="00BD13FE">
              <w:rPr>
                <w:rFonts w:ascii="Times New Roman" w:eastAsia="Calibri" w:hAnsi="Times New Roman" w:cs="Times New Roman"/>
                <w:i/>
                <w:iCs/>
                <w:sz w:val="24"/>
                <w:szCs w:val="24"/>
              </w:rPr>
              <w:t>.</w:t>
            </w:r>
          </w:p>
          <w:p w:rsidR="00E349D0" w:rsidRPr="00BD13FE" w:rsidRDefault="00E349D0" w:rsidP="003C489F">
            <w:pPr>
              <w:ind w:right="142"/>
              <w:jc w:val="both"/>
              <w:rPr>
                <w:rFonts w:ascii="Times New Roman" w:hAnsi="Times New Roman" w:cs="Times New Roman"/>
                <w:b/>
                <w:sz w:val="24"/>
                <w:szCs w:val="24"/>
              </w:rPr>
            </w:pPr>
          </w:p>
          <w:p w:rsidR="003C489F" w:rsidRPr="00BD13FE" w:rsidRDefault="003C489F" w:rsidP="003C489F">
            <w:pPr>
              <w:snapToGrid w:val="0"/>
              <w:jc w:val="both"/>
              <w:rPr>
                <w:rFonts w:ascii="Times New Roman" w:hAnsi="Times New Roman" w:cs="Times New Roman"/>
                <w:sz w:val="24"/>
                <w:szCs w:val="24"/>
              </w:rPr>
            </w:pPr>
            <w:r w:rsidRPr="00BD13FE">
              <w:rPr>
                <w:rFonts w:ascii="Times New Roman" w:hAnsi="Times New Roman" w:cs="Times New Roman"/>
                <w:b/>
                <w:bCs/>
                <w:iCs/>
                <w:sz w:val="24"/>
                <w:szCs w:val="24"/>
              </w:rPr>
              <w:t xml:space="preserve">        </w:t>
            </w:r>
            <w:r w:rsidRPr="00BD13FE">
              <w:rPr>
                <w:rFonts w:ascii="Times New Roman" w:eastAsia="Calibri" w:hAnsi="Times New Roman" w:cs="Times New Roman"/>
                <w:b/>
                <w:bCs/>
                <w:iCs/>
                <w:sz w:val="24"/>
                <w:szCs w:val="24"/>
              </w:rPr>
              <w:t xml:space="preserve"> </w:t>
            </w:r>
            <w:r w:rsidRPr="00BD13FE">
              <w:rPr>
                <w:rFonts w:ascii="Times New Roman" w:hAnsi="Times New Roman" w:cs="Times New Roman"/>
                <w:b/>
                <w:bCs/>
                <w:iCs/>
                <w:sz w:val="24"/>
                <w:szCs w:val="24"/>
              </w:rPr>
              <w:t>Titlul VII - Taxa pe valoarea adăugată</w:t>
            </w:r>
          </w:p>
          <w:p w:rsidR="003C489F" w:rsidRPr="00BD13FE" w:rsidRDefault="003C489F" w:rsidP="003C489F">
            <w:pPr>
              <w:autoSpaceDE w:val="0"/>
              <w:spacing w:before="120"/>
              <w:ind w:left="57" w:right="57"/>
              <w:jc w:val="both"/>
              <w:rPr>
                <w:rFonts w:ascii="Times New Roman" w:hAnsi="Times New Roman" w:cs="Times New Roman"/>
                <w:sz w:val="24"/>
                <w:szCs w:val="24"/>
              </w:rPr>
            </w:pPr>
            <w:r w:rsidRPr="00BD13FE">
              <w:rPr>
                <w:rFonts w:ascii="Times New Roman" w:hAnsi="Times New Roman" w:cs="Times New Roman"/>
                <w:sz w:val="24"/>
                <w:szCs w:val="24"/>
              </w:rPr>
              <w:t xml:space="preserve">România aplică și două cote reduse de TVA, respectiv cotele de 9% și 5%. </w:t>
            </w:r>
          </w:p>
          <w:p w:rsidR="003C489F" w:rsidRPr="00BD13FE" w:rsidRDefault="003C489F" w:rsidP="003C489F">
            <w:pPr>
              <w:autoSpaceDE w:val="0"/>
              <w:spacing w:before="120"/>
              <w:ind w:left="57" w:right="57"/>
              <w:jc w:val="both"/>
              <w:rPr>
                <w:rFonts w:ascii="Times New Roman" w:hAnsi="Times New Roman" w:cs="Times New Roman"/>
                <w:sz w:val="24"/>
                <w:szCs w:val="24"/>
              </w:rPr>
            </w:pPr>
            <w:r w:rsidRPr="00BD13FE">
              <w:rPr>
                <w:rFonts w:ascii="Times New Roman" w:hAnsi="Times New Roman" w:cs="Times New Roman"/>
                <w:sz w:val="24"/>
                <w:szCs w:val="24"/>
              </w:rPr>
              <w:t>Cota redusă de TVA de 9% a fost reintrodusă la data de 1 ianuarie 2004, odată cu intrarea în vigoare a Legii nr. 571/2003 privind Codul fiscal, în perioada 2000-2003 fiind aplicată doar cota standard de TVA de 19%. Această cotă se aplică pentru livrarea/prestarea mai multor categorii de bunuri și servicii, printre care menționăm: manuale şcolare, cărţi, ziare şi reviste, proteze, produse ortopedice, medicamente, servicii de cazare. De la 1 septembrie 2013 cota redusă de TVA de 9% se aplică și pentru pâine, specialități de panificație, anumite tipuri de făină, grâu și secară. De la 1 iunie 2015 aceasta se aplică şi la alimente şi servicii de restaurant şi catering, iar din 2016 la livrarea de apă potabilă şi a apei pentru irigaţii în agricultură (ianuarie 2016) şi livrarea de îngrăşăminte şi pesticide pentru agricultură, seminţe, prestări de servicii in agricultura (august 2016).</w:t>
            </w:r>
          </w:p>
          <w:p w:rsidR="003C489F" w:rsidRPr="00BD13FE" w:rsidRDefault="003C489F" w:rsidP="003C489F">
            <w:pPr>
              <w:ind w:firstLine="499"/>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rPr>
              <w:t>Cota redusă de 5% a fost introdusă din ianuarie 2009 pentru livrarea de locuinte ca parte a politicii sociale. Începând cu 1 ianuarie 2016 a fost extinsă la manuale şcolare, cărti, ziare, reviste, accesul la castele, muzee, monumente, gradini.</w:t>
            </w:r>
          </w:p>
          <w:p w:rsidR="00E10817" w:rsidRPr="00BD13FE" w:rsidRDefault="00E10817" w:rsidP="00476274">
            <w:pPr>
              <w:ind w:firstLine="499"/>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2ED5" w:rsidRPr="00BD13FE" w:rsidRDefault="0069016A" w:rsidP="00476274">
            <w:pPr>
              <w:ind w:firstLine="499"/>
              <w:contextualSpacing/>
              <w:jc w:val="both"/>
              <w:rPr>
                <w:rFonts w:ascii="Times New Roman" w:hAnsi="Times New Roman" w:cs="Times New Roman"/>
                <w:b/>
                <w:sz w:val="24"/>
                <w:szCs w:val="24"/>
              </w:rPr>
            </w:pPr>
            <w:r w:rsidRPr="00BD13FE">
              <w:rPr>
                <w:rFonts w:ascii="Times New Roman" w:hAnsi="Times New Roman" w:cs="Times New Roman"/>
                <w:b/>
                <w:sz w:val="24"/>
                <w:szCs w:val="24"/>
              </w:rPr>
              <w:t xml:space="preserve">3. </w:t>
            </w:r>
            <w:r w:rsidR="00C52ED5" w:rsidRPr="00BD13FE">
              <w:rPr>
                <w:rFonts w:ascii="Times New Roman" w:hAnsi="Times New Roman" w:cs="Times New Roman"/>
                <w:b/>
                <w:sz w:val="24"/>
                <w:szCs w:val="24"/>
              </w:rPr>
              <w:t>Dispoziții referitoare la termene de plată și decizii de impunere ce privesc impozitul pe venit și contribuțiile sociale datorate de persoanele fizice</w:t>
            </w:r>
          </w:p>
          <w:p w:rsidR="00C52ED5" w:rsidRPr="00BD13FE" w:rsidRDefault="00C52ED5" w:rsidP="00476274">
            <w:pPr>
              <w:ind w:firstLine="499"/>
              <w:contextualSpacing/>
              <w:jc w:val="both"/>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2ED5" w:rsidRDefault="00C52ED5" w:rsidP="00476274">
            <w:pPr>
              <w:ind w:firstLine="499"/>
              <w:contextualSpacing/>
              <w:jc w:val="both"/>
              <w:rPr>
                <w:rFonts w:ascii="Times New Roman" w:hAnsi="Times New Roman" w:cs="Times New Roman"/>
                <w:sz w:val="24"/>
                <w:szCs w:val="24"/>
              </w:rPr>
            </w:pPr>
            <w:r w:rsidRPr="00BD13FE">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rFonts w:ascii="Times New Roman" w:hAnsi="Times New Roman" w:cs="Times New Roman"/>
                <w:sz w:val="24"/>
                <w:szCs w:val="24"/>
              </w:rPr>
              <w:t>Ca urmare a modificărilor legislației fiscale în cursul anului 2018, implementate prin Ordonanţa de urgenţă  nr. 18/2018 privind adoptarea unor măsuri fiscal-bugetare şi pentru modificarea şi completarea unor acte normative sunt necesare unele dispoziții tranzitorii referitoare la deciziile de impunere privind contribuția de asigurări sociale de sănătate datorată de persoanele fizice fără venituri care au  optat pentru plata contribuției, în cazul în care acestea nu își mai păstrează opțiunea inițială și, fie optează să beneficieze de noile prevederi fiscale, mai avantajoase, fie se încadrează într-o altă categorie de persoane.</w:t>
            </w:r>
          </w:p>
          <w:p w:rsidR="00F43284" w:rsidRDefault="00F43284" w:rsidP="00476274">
            <w:pPr>
              <w:ind w:firstLine="499"/>
              <w:contextualSpacing/>
              <w:jc w:val="both"/>
              <w:rPr>
                <w:rFonts w:ascii="Times New Roman" w:hAnsi="Times New Roman" w:cs="Times New Roman"/>
                <w:sz w:val="24"/>
                <w:szCs w:val="24"/>
              </w:rPr>
            </w:pPr>
            <w:r>
              <w:rPr>
                <w:rFonts w:ascii="Times New Roman" w:hAnsi="Times New Roman" w:cs="Times New Roman"/>
                <w:sz w:val="24"/>
                <w:szCs w:val="24"/>
              </w:rPr>
              <w:t>Astfel, sunt necesare dispoziții care să reglementeze posibilitatea anulării obligațiilor</w:t>
            </w:r>
            <w:r w:rsidRPr="00F43284">
              <w:rPr>
                <w:rFonts w:ascii="Times New Roman" w:hAnsi="Times New Roman" w:cs="Times New Roman"/>
                <w:sz w:val="24"/>
                <w:szCs w:val="24"/>
              </w:rPr>
              <w:t xml:space="preserve"> de plată privind contribuția de asigurări sociale de sănătate stabilite prin “Decizia de impunere privind contribuția de asigurări sociale de sănătate datorată de persoanele fizice potrivit art. 180 alin. (1) lit. a) din Codul fiscal”, aferente perioadei începând cu luna depunerii declarației unice privind impozitul pe venit și contribuțiile sociale datorate de persoanele fizice, sau începând cu luna depunerii notificării, inclusiv.</w:t>
            </w:r>
          </w:p>
          <w:p w:rsidR="00F43284" w:rsidRPr="00BD13FE" w:rsidRDefault="00F43284" w:rsidP="009351ED">
            <w:pPr>
              <w:spacing w:after="240"/>
              <w:ind w:firstLine="49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De asemenea, </w:t>
            </w:r>
            <w:r>
              <w:t>î</w:t>
            </w:r>
            <w:r>
              <w:rPr>
                <w:rFonts w:ascii="Times New Roman" w:hAnsi="Times New Roman" w:cs="Times New Roman"/>
                <w:sz w:val="24"/>
                <w:szCs w:val="24"/>
              </w:rPr>
              <w:t>n situația în care</w:t>
            </w:r>
            <w:r w:rsidR="004B7E01">
              <w:rPr>
                <w:rFonts w:ascii="Times New Roman" w:hAnsi="Times New Roman" w:cs="Times New Roman"/>
                <w:sz w:val="24"/>
                <w:szCs w:val="24"/>
              </w:rPr>
              <w:t xml:space="preserve"> </w:t>
            </w:r>
            <w:r>
              <w:rPr>
                <w:rFonts w:ascii="Times New Roman" w:hAnsi="Times New Roman" w:cs="Times New Roman"/>
                <w:sz w:val="24"/>
                <w:szCs w:val="24"/>
              </w:rPr>
              <w:t>persoanele</w:t>
            </w:r>
            <w:r w:rsidRPr="00F43284">
              <w:rPr>
                <w:rFonts w:ascii="Times New Roman" w:hAnsi="Times New Roman" w:cs="Times New Roman"/>
                <w:sz w:val="24"/>
                <w:szCs w:val="24"/>
              </w:rPr>
              <w:t xml:space="preserve"> fizic</w:t>
            </w:r>
            <w:r>
              <w:rPr>
                <w:rFonts w:ascii="Times New Roman" w:hAnsi="Times New Roman" w:cs="Times New Roman"/>
                <w:sz w:val="24"/>
                <w:szCs w:val="24"/>
              </w:rPr>
              <w:t>e</w:t>
            </w:r>
            <w:r w:rsidR="004B7E01">
              <w:rPr>
                <w:rFonts w:ascii="Times New Roman" w:hAnsi="Times New Roman" w:cs="Times New Roman"/>
                <w:sz w:val="24"/>
                <w:szCs w:val="24"/>
              </w:rPr>
              <w:t xml:space="preserve"> pentru care organul fiscal a emis de </w:t>
            </w:r>
            <w:r w:rsidR="004B7E01" w:rsidRPr="004B7E01">
              <w:rPr>
                <w:rFonts w:ascii="Times New Roman" w:hAnsi="Times New Roman" w:cs="Times New Roman"/>
                <w:sz w:val="24"/>
                <w:szCs w:val="24"/>
              </w:rPr>
              <w:t>“Decizia de impunere privind contribuția de asigurări sociale de sănătate datorată de persoanele fizice potrivit art. 180 alin</w:t>
            </w:r>
            <w:r w:rsidR="004B7E01">
              <w:rPr>
                <w:rFonts w:ascii="Times New Roman" w:hAnsi="Times New Roman" w:cs="Times New Roman"/>
                <w:sz w:val="24"/>
                <w:szCs w:val="24"/>
              </w:rPr>
              <w:t xml:space="preserve">. (1) lit. a) din Codul fiscal” conform prevederilor fiscale </w:t>
            </w:r>
            <w:r w:rsidR="009351ED">
              <w:rPr>
                <w:rFonts w:ascii="Times New Roman" w:hAnsi="Times New Roman" w:cs="Times New Roman"/>
                <w:sz w:val="24"/>
                <w:szCs w:val="24"/>
              </w:rPr>
              <w:t>aplicabile</w:t>
            </w:r>
            <w:r w:rsidR="004B7E01">
              <w:rPr>
                <w:rFonts w:ascii="Times New Roman" w:hAnsi="Times New Roman" w:cs="Times New Roman"/>
                <w:sz w:val="24"/>
                <w:szCs w:val="24"/>
              </w:rPr>
              <w:t xml:space="preserve"> înainte de </w:t>
            </w:r>
            <w:r w:rsidR="009351ED">
              <w:rPr>
                <w:rFonts w:ascii="Times New Roman" w:hAnsi="Times New Roman" w:cs="Times New Roman"/>
                <w:sz w:val="24"/>
                <w:szCs w:val="24"/>
              </w:rPr>
              <w:t>intrarea în vigoare a Ordonanței de urgență nr. 18/2018</w:t>
            </w:r>
            <w:r w:rsidR="009351ED">
              <w:t xml:space="preserve"> p</w:t>
            </w:r>
            <w:r w:rsidR="009351ED" w:rsidRPr="009351ED">
              <w:rPr>
                <w:rFonts w:ascii="Times New Roman" w:hAnsi="Times New Roman" w:cs="Times New Roman"/>
                <w:sz w:val="24"/>
                <w:szCs w:val="24"/>
              </w:rPr>
              <w:t>rivind adoptarea unor măsuri fiscal-bugetare şi pentru modificarea şi completarea unor acte normative</w:t>
            </w:r>
            <w:r w:rsidR="009351ED">
              <w:rPr>
                <w:rFonts w:ascii="Times New Roman" w:hAnsi="Times New Roman" w:cs="Times New Roman"/>
                <w:sz w:val="24"/>
                <w:szCs w:val="24"/>
              </w:rPr>
              <w:t xml:space="preserve">, iar aceste persoane </w:t>
            </w:r>
            <w:r w:rsidRPr="00F43284">
              <w:rPr>
                <w:rFonts w:ascii="Times New Roman" w:hAnsi="Times New Roman" w:cs="Times New Roman"/>
                <w:sz w:val="24"/>
                <w:szCs w:val="24"/>
              </w:rPr>
              <w:t xml:space="preserve"> nu își exprimă opțiunea de plată a contribuției prin depunerea declarației unice privind impozitul pe venit și contribuțiile sociale datorate de persoanele fizice, până la termenul de depunere a </w:t>
            </w:r>
            <w:r w:rsidR="004B7E01">
              <w:rPr>
                <w:rFonts w:ascii="Times New Roman" w:hAnsi="Times New Roman" w:cs="Times New Roman"/>
                <w:sz w:val="24"/>
                <w:szCs w:val="24"/>
              </w:rPr>
              <w:t>acesteia</w:t>
            </w:r>
            <w:r w:rsidRPr="00F43284">
              <w:rPr>
                <w:rFonts w:ascii="Times New Roman" w:hAnsi="Times New Roman" w:cs="Times New Roman"/>
                <w:sz w:val="24"/>
                <w:szCs w:val="24"/>
              </w:rPr>
              <w:t xml:space="preserve">, prevăzut de lege pentru </w:t>
            </w:r>
            <w:r w:rsidR="004B7E01">
              <w:rPr>
                <w:rFonts w:ascii="Times New Roman" w:hAnsi="Times New Roman" w:cs="Times New Roman"/>
                <w:sz w:val="24"/>
                <w:szCs w:val="24"/>
              </w:rPr>
              <w:t>anul fiscal 2019,</w:t>
            </w:r>
            <w:r w:rsidR="009351ED">
              <w:rPr>
                <w:rFonts w:ascii="Times New Roman" w:hAnsi="Times New Roman" w:cs="Times New Roman"/>
                <w:sz w:val="24"/>
                <w:szCs w:val="24"/>
              </w:rPr>
              <w:t xml:space="preserve"> respectiv 15 martie 2019,</w:t>
            </w:r>
            <w:r w:rsidR="004B7E01">
              <w:rPr>
                <w:rFonts w:ascii="Times New Roman" w:hAnsi="Times New Roman" w:cs="Times New Roman"/>
                <w:sz w:val="24"/>
                <w:szCs w:val="24"/>
              </w:rPr>
              <w:t xml:space="preserve"> sunt necesare clarificări în ceea ce privește </w:t>
            </w:r>
            <w:r w:rsidR="009351ED">
              <w:rPr>
                <w:rFonts w:ascii="Times New Roman" w:hAnsi="Times New Roman" w:cs="Times New Roman"/>
                <w:sz w:val="24"/>
                <w:szCs w:val="24"/>
              </w:rPr>
              <w:t xml:space="preserve">data până la care își produce </w:t>
            </w:r>
            <w:r w:rsidR="004B7E01">
              <w:rPr>
                <w:rFonts w:ascii="Times New Roman" w:hAnsi="Times New Roman" w:cs="Times New Roman"/>
                <w:sz w:val="24"/>
                <w:szCs w:val="24"/>
              </w:rPr>
              <w:t xml:space="preserve">efectele </w:t>
            </w:r>
            <w:r w:rsidR="009351ED">
              <w:rPr>
                <w:rFonts w:ascii="Times New Roman" w:hAnsi="Times New Roman" w:cs="Times New Roman"/>
                <w:sz w:val="24"/>
                <w:szCs w:val="24"/>
              </w:rPr>
              <w:t>decizia de impunere.</w:t>
            </w:r>
            <w:r w:rsidR="004B7E01">
              <w:rPr>
                <w:rFonts w:ascii="Times New Roman" w:hAnsi="Times New Roman" w:cs="Times New Roman"/>
                <w:sz w:val="24"/>
                <w:szCs w:val="24"/>
              </w:rPr>
              <w:t xml:space="preserve"> </w:t>
            </w:r>
          </w:p>
          <w:p w:rsidR="00C52ED5" w:rsidRPr="00BD13FE" w:rsidRDefault="00F43284" w:rsidP="00C52ED5">
            <w:pPr>
              <w:ind w:left="59" w:right="86"/>
              <w:jc w:val="both"/>
              <w:rPr>
                <w:rFonts w:ascii="Times New Roman" w:eastAsia="Calibri" w:hAnsi="Times New Roman" w:cs="Times New Roman"/>
                <w:bCs/>
                <w:sz w:val="24"/>
                <w:szCs w:val="24"/>
              </w:rPr>
            </w:pPr>
            <w:r>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2ED5"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C52ED5" w:rsidRPr="00BD13FE">
              <w:rPr>
                <w:rFonts w:ascii="Times New Roman" w:eastAsia="Calibri" w:hAnsi="Times New Roman" w:cs="Times New Roman"/>
                <w:bCs/>
                <w:sz w:val="24"/>
                <w:szCs w:val="24"/>
              </w:rPr>
              <w:t>Potrivit reglementărilor în vigoare în perioada 2014-2017,  impozitul pe venit, contribuția de asigurări sociale și contribuția individuală de asigurări sociale de sănătate, diferenţele de impozit și contribuții rămase de achitat, stabilite prin decizii de impunere anuală, se plătesc în termen de cel mult 60 de zile de la data comunicării deciziei de impunere, perioadă pentru care nu se calculează şi nu se datorează obligaţii fiscale accesorii conform Codului de procedură fiscală. Deasemenea, reglemetările actuale nu prevăd încurajarea plății cu anticipație a sumelor datorate pentru perioadele anterioare.</w:t>
            </w:r>
          </w:p>
          <w:p w:rsidR="00C52ED5" w:rsidRPr="00BD13FE" w:rsidRDefault="00C52ED5" w:rsidP="00476274">
            <w:pPr>
              <w:ind w:firstLine="499"/>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49D0" w:rsidRPr="00BD13FE" w:rsidRDefault="0069016A" w:rsidP="00476274">
            <w:pPr>
              <w:ind w:firstLine="499"/>
              <w:contextualSpacing/>
              <w:jc w:val="both"/>
              <w:rPr>
                <w:rFonts w:ascii="Times New Roman" w:hAnsi="Times New Roman" w:cs="Times New Roman"/>
                <w:b/>
                <w:sz w:val="24"/>
                <w:szCs w:val="24"/>
              </w:rPr>
            </w:pPr>
            <w:r w:rsidRPr="00BD13FE">
              <w:rPr>
                <w:rFonts w:ascii="Times New Roman" w:hAnsi="Times New Roman" w:cs="Times New Roman"/>
                <w:b/>
                <w:sz w:val="24"/>
                <w:szCs w:val="24"/>
              </w:rPr>
              <w:t xml:space="preserve">4. </w:t>
            </w:r>
            <w:r w:rsidR="00E349D0" w:rsidRPr="00BD13FE">
              <w:rPr>
                <w:rFonts w:ascii="Times New Roman" w:hAnsi="Times New Roman" w:cs="Times New Roman"/>
                <w:b/>
                <w:sz w:val="24"/>
                <w:szCs w:val="24"/>
              </w:rPr>
              <w:t>Ordonanţa Guvernului nr.10/2015 pentru organizarea Loteriei bonurilor fiscale</w:t>
            </w:r>
          </w:p>
          <w:p w:rsidR="00E349D0" w:rsidRPr="00BD13FE" w:rsidRDefault="00E349D0" w:rsidP="00476274">
            <w:pPr>
              <w:ind w:firstLine="499"/>
              <w:contextualSpacing/>
              <w:jc w:val="both"/>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49D0" w:rsidRPr="00BD13FE" w:rsidRDefault="00E349D0" w:rsidP="00E349D0">
            <w:pPr>
              <w:tabs>
                <w:tab w:val="left" w:pos="665"/>
              </w:tabs>
              <w:ind w:left="98" w:right="70" w:firstLine="284"/>
              <w:jc w:val="both"/>
              <w:rPr>
                <w:rFonts w:ascii="Times New Roman" w:eastAsia="Calibri" w:hAnsi="Times New Roman" w:cs="Times New Roman"/>
                <w:iCs/>
                <w:sz w:val="24"/>
                <w:szCs w:val="24"/>
              </w:rPr>
            </w:pPr>
            <w:r w:rsidRPr="00BD13FE">
              <w:rPr>
                <w:rFonts w:ascii="Times New Roman" w:hAnsi="Times New Roman" w:cs="Times New Roman"/>
                <w:b/>
                <w:sz w:val="24"/>
                <w:szCs w:val="24"/>
              </w:rPr>
              <w:t>În ceea ce privește Loteria bonurilor fiscale</w:t>
            </w:r>
            <w:r w:rsidRPr="00BD13FE">
              <w:rPr>
                <w:rFonts w:ascii="Times New Roman" w:hAnsi="Times New Roman" w:cs="Times New Roman"/>
                <w:sz w:val="24"/>
                <w:szCs w:val="24"/>
              </w:rPr>
              <w:t>: Ordonanţa Guvernului nr.10/2015 pentru organizarea Loteriei bonurilor fiscale, a fost elaborată şi adoptată ca măsură de diminuare a evaziunii fiscale prin cointeresarea, implicarea și responsabilizarea cetățenilor în fiscalizarea veniturilor realizate de comercianți.</w:t>
            </w:r>
          </w:p>
          <w:p w:rsidR="00E349D0" w:rsidRPr="00BD13FE" w:rsidRDefault="00E349D0" w:rsidP="00E349D0">
            <w:pPr>
              <w:tabs>
                <w:tab w:val="left" w:pos="665"/>
              </w:tabs>
              <w:autoSpaceDE w:val="0"/>
              <w:snapToGrid w:val="0"/>
              <w:ind w:left="98" w:right="70" w:firstLine="284"/>
              <w:jc w:val="both"/>
              <w:rPr>
                <w:rFonts w:ascii="Times New Roman" w:eastAsia="Calibri" w:hAnsi="Times New Roman" w:cs="Times New Roman"/>
                <w:iCs/>
                <w:sz w:val="24"/>
                <w:szCs w:val="24"/>
              </w:rPr>
            </w:pPr>
            <w:r w:rsidRPr="00BD13FE">
              <w:rPr>
                <w:rFonts w:ascii="Times New Roman" w:eastAsia="Calibri" w:hAnsi="Times New Roman" w:cs="Times New Roman"/>
                <w:iCs/>
                <w:sz w:val="24"/>
                <w:szCs w:val="24"/>
              </w:rPr>
              <w:t xml:space="preserve">Printr-o hotărâre judecătorească definitivă, emisă în cursul anului 2017, instanța de judecată a constatat faptul că o persoană are calitatea de câștigător la o extragere a Loteriei bonurilor fiscale și totodată a obligat o unitate teritorială a A.N.A.F. să achite acesteia, cu titlu de premiu, o anumită sumă de bani, în condițiile în care Ministerul Finanțelor Publice a distribuit deja, integral, fondul de premiere aferent extragerii respective conform situației rezultate în urma expirării intervalului de revendicare a premiilor și după verificarea autenticității și realității bonurilor fiscale câștigătoare de către organul fiscal competent al </w:t>
            </w:r>
          </w:p>
          <w:p w:rsidR="00E349D0" w:rsidRPr="00BD13FE" w:rsidRDefault="00E349D0" w:rsidP="00E349D0">
            <w:pPr>
              <w:tabs>
                <w:tab w:val="left" w:pos="665"/>
              </w:tabs>
              <w:autoSpaceDE w:val="0"/>
              <w:snapToGrid w:val="0"/>
              <w:ind w:left="98" w:right="70"/>
              <w:jc w:val="both"/>
              <w:rPr>
                <w:rFonts w:ascii="Times New Roman" w:hAnsi="Times New Roman" w:cs="Times New Roman"/>
                <w:sz w:val="24"/>
                <w:szCs w:val="24"/>
              </w:rPr>
            </w:pPr>
            <w:r w:rsidRPr="00BD13FE">
              <w:rPr>
                <w:rFonts w:ascii="Times New Roman" w:eastAsia="Calibri" w:hAnsi="Times New Roman" w:cs="Times New Roman"/>
                <w:iCs/>
                <w:sz w:val="24"/>
                <w:szCs w:val="24"/>
              </w:rPr>
              <w:t>A.N.A.F..</w:t>
            </w:r>
          </w:p>
          <w:p w:rsidR="00E349D0" w:rsidRPr="00BD13FE" w:rsidRDefault="00E349D0" w:rsidP="00E349D0">
            <w:pPr>
              <w:tabs>
                <w:tab w:val="left" w:pos="665"/>
              </w:tabs>
              <w:ind w:left="98" w:right="70" w:firstLine="284"/>
              <w:jc w:val="both"/>
              <w:rPr>
                <w:rFonts w:ascii="Times New Roman" w:eastAsia="Calibri" w:hAnsi="Times New Roman" w:cs="Times New Roman"/>
                <w:iCs/>
                <w:sz w:val="24"/>
                <w:szCs w:val="24"/>
              </w:rPr>
            </w:pPr>
            <w:r w:rsidRPr="00BD13FE">
              <w:rPr>
                <w:rFonts w:ascii="Times New Roman" w:hAnsi="Times New Roman" w:cs="Times New Roman"/>
                <w:sz w:val="24"/>
                <w:szCs w:val="24"/>
              </w:rPr>
              <w:t>Potrivit cadrului legal în vigoare, valoarea unui premiu la Loteria bonurilor fiscale se calculează prin împărțirea fondului de premiere la totalitatea bonurilor fiscale revendicate în termen.</w:t>
            </w:r>
          </w:p>
          <w:p w:rsidR="00E349D0" w:rsidRPr="00BD13FE" w:rsidRDefault="00E349D0" w:rsidP="00E349D0">
            <w:pPr>
              <w:tabs>
                <w:tab w:val="left" w:pos="665"/>
              </w:tabs>
              <w:autoSpaceDE w:val="0"/>
              <w:snapToGrid w:val="0"/>
              <w:ind w:left="98" w:right="70" w:firstLine="284"/>
              <w:jc w:val="both"/>
              <w:rPr>
                <w:rFonts w:ascii="Times New Roman" w:eastAsia="Calibri" w:hAnsi="Times New Roman" w:cs="Times New Roman"/>
                <w:iCs/>
                <w:sz w:val="24"/>
                <w:szCs w:val="24"/>
              </w:rPr>
            </w:pPr>
            <w:r w:rsidRPr="00BD13FE">
              <w:rPr>
                <w:rFonts w:ascii="Times New Roman" w:eastAsia="Calibri" w:hAnsi="Times New Roman" w:cs="Times New Roman"/>
                <w:iCs/>
                <w:sz w:val="24"/>
                <w:szCs w:val="24"/>
              </w:rPr>
              <w:t>La extragerea vizată de hotărârea instanței de judecată au fost înregistrate 3 bonuri fiscale câștigătoare, întreg fondul de premiere fiind distribuit, conform legii, celor 3 persoane care au revendicat premii.</w:t>
            </w:r>
          </w:p>
          <w:p w:rsidR="00E349D0" w:rsidRPr="00BD13FE" w:rsidRDefault="00E349D0" w:rsidP="00E349D0">
            <w:pPr>
              <w:tabs>
                <w:tab w:val="left" w:pos="665"/>
              </w:tabs>
              <w:autoSpaceDE w:val="0"/>
              <w:snapToGrid w:val="0"/>
              <w:ind w:left="98" w:right="70" w:firstLine="284"/>
              <w:jc w:val="both"/>
              <w:rPr>
                <w:rFonts w:ascii="Times New Roman" w:hAnsi="Times New Roman" w:cs="Times New Roman"/>
                <w:sz w:val="24"/>
                <w:szCs w:val="24"/>
                <w:lang w:eastAsia="ro-RO"/>
              </w:rPr>
            </w:pPr>
            <w:r w:rsidRPr="00BD13FE">
              <w:rPr>
                <w:rFonts w:ascii="Times New Roman" w:eastAsia="Calibri" w:hAnsi="Times New Roman" w:cs="Times New Roman"/>
                <w:iCs/>
                <w:sz w:val="24"/>
                <w:szCs w:val="24"/>
              </w:rPr>
              <w:t xml:space="preserve">În acest context, în care, prin hotărâre a instanței de judecată a fost mărit numărul câștigătorilor la extragerea în cauză, de la 3 la 4 </w:t>
            </w:r>
            <w:r w:rsidRPr="00BD13FE">
              <w:rPr>
                <w:rFonts w:ascii="Times New Roman" w:eastAsia="Calibri" w:hAnsi="Times New Roman" w:cs="Times New Roman"/>
                <w:iCs/>
                <w:sz w:val="24"/>
                <w:szCs w:val="24"/>
              </w:rPr>
              <w:lastRenderedPageBreak/>
              <w:t>persoane, celui de-al 4-lea câștigător fiindu-i acordat un premiu al cărui cuantum a fost determinat prin împărțirea la 4 a fondului de premiere, se constată faptul că, în prezent, nu există prevederi legale referitoare la sursa din care se achită suma stabilită de instanța de judecată sau la modul în care urmează să fie recuperată suma plătită în plus de Ministerul Finanțelor Publice, calculată ca diferență între valoarea premiului deja achitată și valoarea premiului obținută după recalculare, urmare a creșterii numărului câștigătorilor, de la 3 la 4.</w:t>
            </w:r>
          </w:p>
          <w:p w:rsidR="00E349D0" w:rsidRPr="00BD13FE" w:rsidRDefault="00E349D0" w:rsidP="00C52ED5">
            <w:pPr>
              <w:autoSpaceDE w:val="0"/>
              <w:ind w:right="142"/>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 xml:space="preserve">      Printr-o altă hotărâre judecătorească definitivă, instanța de judecată a constatat că o persoană are calitatea de câștigător la o extragere a Loteriei bonurilor fiscale, fără a individualiza suma care i se cuvine cu titlu de premiu.</w:t>
            </w:r>
          </w:p>
          <w:p w:rsidR="00D52B86" w:rsidRPr="00BD13FE" w:rsidRDefault="00D52B86" w:rsidP="00C52ED5">
            <w:pPr>
              <w:autoSpaceDE w:val="0"/>
              <w:ind w:right="142"/>
              <w:jc w:val="both"/>
              <w:rPr>
                <w:rFonts w:ascii="Times New Roman" w:hAnsi="Times New Roman" w:cs="Times New Roman"/>
                <w:sz w:val="24"/>
                <w:szCs w:val="24"/>
                <w:lang w:eastAsia="ro-RO"/>
              </w:rPr>
            </w:pPr>
          </w:p>
          <w:p w:rsidR="00D52B86" w:rsidRPr="00BD13FE" w:rsidRDefault="00D52B86" w:rsidP="00D52B86">
            <w:pPr>
              <w:autoSpaceDE w:val="0"/>
              <w:ind w:right="142"/>
              <w:jc w:val="both"/>
              <w:rPr>
                <w:rFonts w:ascii="Times New Roman" w:hAnsi="Times New Roman" w:cs="Times New Roman"/>
                <w:sz w:val="24"/>
                <w:szCs w:val="24"/>
                <w:lang w:eastAsia="ro-RO"/>
              </w:rPr>
            </w:pPr>
          </w:p>
          <w:p w:rsidR="00D52B86" w:rsidRPr="00BD13FE" w:rsidRDefault="0069016A" w:rsidP="00D52B86">
            <w:pPr>
              <w:autoSpaceDE w:val="0"/>
              <w:ind w:right="142"/>
              <w:jc w:val="both"/>
              <w:rPr>
                <w:rFonts w:ascii="Times New Roman" w:hAnsi="Times New Roman" w:cs="Times New Roman"/>
                <w:b/>
                <w:sz w:val="24"/>
                <w:szCs w:val="24"/>
                <w:lang w:eastAsia="ro-RO"/>
              </w:rPr>
            </w:pPr>
            <w:r w:rsidRPr="00BD13FE">
              <w:rPr>
                <w:rFonts w:ascii="Times New Roman" w:hAnsi="Times New Roman" w:cs="Times New Roman"/>
                <w:sz w:val="24"/>
                <w:szCs w:val="24"/>
                <w:lang w:eastAsia="ro-RO"/>
              </w:rPr>
              <w:t xml:space="preserve">  </w:t>
            </w:r>
            <w:r w:rsidRPr="00BD13FE">
              <w:rPr>
                <w:rFonts w:ascii="Times New Roman" w:hAnsi="Times New Roman" w:cs="Times New Roman"/>
                <w:b/>
                <w:sz w:val="24"/>
                <w:szCs w:val="24"/>
                <w:lang w:eastAsia="ro-RO"/>
              </w:rPr>
              <w:t>5.</w:t>
            </w:r>
            <w:r w:rsidRPr="00BD13FE">
              <w:rPr>
                <w:rFonts w:ascii="Times New Roman" w:hAnsi="Times New Roman" w:cs="Times New Roman"/>
                <w:sz w:val="24"/>
                <w:szCs w:val="24"/>
                <w:lang w:eastAsia="ro-RO"/>
              </w:rPr>
              <w:t xml:space="preserve"> </w:t>
            </w:r>
            <w:r w:rsidR="00D52B86" w:rsidRPr="00BD13FE">
              <w:rPr>
                <w:rFonts w:ascii="Times New Roman" w:hAnsi="Times New Roman" w:cs="Times New Roman"/>
                <w:b/>
                <w:sz w:val="24"/>
                <w:szCs w:val="24"/>
                <w:lang w:eastAsia="ro-RO"/>
              </w:rPr>
              <w:t>Ordonanța de Urgenta a Guvernului nr. 77/2014 privind procedurile naţionale în domeniul ajutorului de stat, precum şi pentru modificarea şi completarea Legii concurenţei nr. 21/1996</w:t>
            </w:r>
          </w:p>
          <w:p w:rsidR="00D52B86" w:rsidRPr="00BD13FE" w:rsidRDefault="00D52B86" w:rsidP="00D52B86">
            <w:pPr>
              <w:autoSpaceDE w:val="0"/>
              <w:ind w:right="142"/>
              <w:jc w:val="both"/>
              <w:rPr>
                <w:rFonts w:ascii="Times New Roman" w:hAnsi="Times New Roman" w:cs="Times New Roman"/>
                <w:sz w:val="24"/>
                <w:szCs w:val="24"/>
                <w:lang w:eastAsia="ro-RO"/>
              </w:rPr>
            </w:pPr>
          </w:p>
          <w:p w:rsidR="00D52B86" w:rsidRPr="00BD13FE" w:rsidRDefault="00D52B86" w:rsidP="00D52B86">
            <w:pPr>
              <w:autoSpaceDE w:val="0"/>
              <w:ind w:right="142"/>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Prin Ordonanța de Urgenta a Guvernului nr. 77/2014 privind procedurile naţionale în domeniul ajutorului de stat, precum şi pentru modificarea şi completarea Legii concurenţei nr. 21/1996, publicată în Monitorul Oficial al României, Partea I, numărul 893 din data de 9 decembrie 2014 (denumită OUG nr. 77/2014), au fost reglementate procedurile naţionale în materia ajutorului de stat, în vederea aplicării prevederilor art. 106-109 din Tratatul privind Funcţionarea Uniunii Europene, denumit în continuare TFUE şi a legislaţiei secundare adoptate în baza acestora.</w:t>
            </w:r>
          </w:p>
          <w:p w:rsidR="00D52B86" w:rsidRPr="00BD13FE" w:rsidRDefault="00D52B86" w:rsidP="00D52B86">
            <w:pPr>
              <w:autoSpaceDE w:val="0"/>
              <w:ind w:right="142"/>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Ministerul Finanțelor Publice în calitate de furnizor – administrator de ajutor de stat a avut dificultăți în gestionarea schemelor de ajutor de stat, îndeplinirea obligațiilor de plată a ajutorului de stat care decurg din angajamentele legale asumate față de beneficiarii de ajutor de stat fiind în contradicție  obligația de a se încadra în limitele sumelor aprobate pentru plata ajutoarelor de stat prin legile bugetare anuale.</w:t>
            </w:r>
          </w:p>
          <w:p w:rsidR="00D52B86" w:rsidRPr="00BD13FE" w:rsidRDefault="00D52B86" w:rsidP="00D52B86">
            <w:pPr>
              <w:autoSpaceDE w:val="0"/>
              <w:ind w:right="142"/>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Aceste probleme au sunt determinate de faptul că repartizarea creditelor de angajament și bugetare nu se poate realiza pe întreaga perioada de  valabilitate a programelor de ajutor de stat care este mai mare decât perioada repartizării creditelor de angajament si bugetare prevăzute prin legile bugetare anuale.</w:t>
            </w:r>
          </w:p>
          <w:p w:rsidR="00D52B86" w:rsidRPr="00BD13FE" w:rsidRDefault="00D52B86" w:rsidP="00D52B86">
            <w:pPr>
              <w:autoSpaceDE w:val="0"/>
              <w:ind w:right="142"/>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Astfel, sunt introduse prevederi prin care  Ministerul Finanțelor Publice, în calitate de ordonator de credite și de furnizor de ajutor de stat, la emiterea angajamentelor legale să poată utiliza disponibilul de credite bugetare pe întreaga perioadă de valabilitate a schemelor de ajutor de stat și nu doar pe perioda  acoperită prin legile bugetare anuale, respectiv anul curent și 3 ani ulteriori.</w:t>
            </w:r>
          </w:p>
          <w:p w:rsidR="00841BDA" w:rsidRPr="00BD13FE" w:rsidRDefault="00841BDA" w:rsidP="00D52B86">
            <w:pPr>
              <w:autoSpaceDE w:val="0"/>
              <w:ind w:right="142"/>
              <w:jc w:val="both"/>
              <w:rPr>
                <w:rFonts w:ascii="Times New Roman" w:hAnsi="Times New Roman" w:cs="Times New Roman"/>
                <w:sz w:val="24"/>
                <w:szCs w:val="24"/>
                <w:lang w:eastAsia="ro-RO"/>
              </w:rPr>
            </w:pPr>
          </w:p>
          <w:p w:rsidR="00841BDA" w:rsidRPr="00BD13FE" w:rsidRDefault="00841BDA" w:rsidP="00841BDA">
            <w:pPr>
              <w:pStyle w:val="NormalWeb"/>
              <w:tabs>
                <w:tab w:val="left" w:pos="993"/>
              </w:tabs>
              <w:suppressAutoHyphens w:val="0"/>
              <w:autoSpaceDE w:val="0"/>
              <w:spacing w:before="0" w:after="0"/>
              <w:jc w:val="both"/>
              <w:rPr>
                <w:color w:val="auto"/>
                <w:shd w:val="clear" w:color="auto" w:fill="FFFFFF"/>
                <w:lang w:val="ro-RO" w:eastAsia="ro-RO"/>
              </w:rPr>
            </w:pPr>
            <w:r w:rsidRPr="00BD13FE">
              <w:rPr>
                <w:b/>
                <w:bCs/>
                <w:color w:val="auto"/>
                <w:shd w:val="clear" w:color="auto" w:fill="FFFFFF"/>
                <w:lang w:val="ro-RO" w:eastAsia="ro-RO"/>
              </w:rPr>
              <w:t xml:space="preserve">     6.</w:t>
            </w:r>
            <w:r w:rsidRPr="00BD13FE">
              <w:rPr>
                <w:rFonts w:eastAsia="Segoe UI"/>
                <w:b/>
                <w:bCs/>
                <w:color w:val="auto"/>
                <w:shd w:val="clear" w:color="auto" w:fill="FFFFFF"/>
                <w:lang w:val="it-IT" w:eastAsia="ro-RO"/>
              </w:rPr>
              <w:t xml:space="preserve"> C</w:t>
            </w:r>
            <w:r w:rsidRPr="00BD13FE">
              <w:rPr>
                <w:rFonts w:cs="Arial"/>
                <w:b/>
                <w:bCs/>
                <w:color w:val="auto"/>
                <w:shd w:val="clear" w:color="auto" w:fill="FFFFFF"/>
                <w:lang w:val="it-IT"/>
              </w:rPr>
              <w:t>ompletarea art. 63 din Legea nr. 273/2006 privind finanțele publice locale.</w:t>
            </w:r>
          </w:p>
          <w:p w:rsidR="00841BDA" w:rsidRPr="00BD13FE" w:rsidRDefault="00841BDA" w:rsidP="00841BDA">
            <w:pPr>
              <w:pStyle w:val="NormalWeb"/>
              <w:tabs>
                <w:tab w:val="left" w:pos="993"/>
              </w:tabs>
              <w:suppressAutoHyphens w:val="0"/>
              <w:autoSpaceDE w:val="0"/>
              <w:spacing w:before="0" w:after="0"/>
              <w:jc w:val="both"/>
              <w:rPr>
                <w:color w:val="auto"/>
                <w:shd w:val="clear" w:color="auto" w:fill="FFFFFF"/>
                <w:lang w:val="ro-RO" w:eastAsia="ro-RO"/>
              </w:rPr>
            </w:pPr>
          </w:p>
          <w:p w:rsidR="00841BDA" w:rsidRPr="00BD13FE" w:rsidRDefault="00841BDA" w:rsidP="00841BDA">
            <w:pPr>
              <w:pStyle w:val="NormalWeb"/>
              <w:tabs>
                <w:tab w:val="left" w:pos="993"/>
              </w:tabs>
              <w:suppressAutoHyphens w:val="0"/>
              <w:autoSpaceDE w:val="0"/>
              <w:spacing w:before="0" w:after="0"/>
              <w:jc w:val="both"/>
              <w:rPr>
                <w:rFonts w:ascii="Arial" w:hAnsi="Arial" w:cs="Arial"/>
                <w:color w:val="auto"/>
                <w:shd w:val="clear" w:color="auto" w:fill="FFFFFF"/>
                <w:lang w:val="ro-RO" w:eastAsia="en-US"/>
              </w:rPr>
            </w:pPr>
            <w:r w:rsidRPr="00BD13FE">
              <w:rPr>
                <w:b/>
                <w:bCs/>
                <w:color w:val="auto"/>
                <w:shd w:val="clear" w:color="auto" w:fill="FFFFFF"/>
                <w:lang w:val="ro-RO" w:eastAsia="en-US"/>
              </w:rPr>
              <w:t xml:space="preserve">        </w:t>
            </w:r>
            <w:r w:rsidRPr="00BD13FE">
              <w:rPr>
                <w:rFonts w:cs="Arial"/>
                <w:color w:val="auto"/>
                <w:shd w:val="clear" w:color="auto" w:fill="FFFFFF"/>
                <w:lang w:val="ro-RO" w:eastAsia="en-US"/>
              </w:rPr>
              <w:t>Conform dispozițiilor art. 26 alin. (2) și art. 29 alin. (1) lit. d) din</w:t>
            </w:r>
            <w:r w:rsidRPr="00BD13FE">
              <w:rPr>
                <w:rFonts w:cs="Arial"/>
                <w:color w:val="auto"/>
                <w:shd w:val="clear" w:color="auto" w:fill="FFFFFF"/>
                <w:lang w:val="ro-RO" w:eastAsia="ro-RO"/>
              </w:rPr>
              <w:t xml:space="preserve"> </w:t>
            </w:r>
            <w:r w:rsidRPr="00BD13FE">
              <w:rPr>
                <w:rFonts w:cs="Arial"/>
                <w:i/>
                <w:color w:val="auto"/>
                <w:shd w:val="clear" w:color="auto" w:fill="FFFFFF"/>
                <w:lang w:val="ro-RO" w:eastAsia="ro-RO"/>
              </w:rPr>
              <w:t>Legea responsabilităţii fiscal-bugetare nr. 69/2010</w:t>
            </w:r>
            <w:r w:rsidRPr="00BD13FE">
              <w:rPr>
                <w:rFonts w:cs="Arial"/>
                <w:color w:val="auto"/>
                <w:shd w:val="clear" w:color="auto" w:fill="FFFFFF"/>
                <w:lang w:val="ro-RO" w:eastAsia="ro-RO"/>
              </w:rPr>
              <w:t xml:space="preserve">, republicată, </w:t>
            </w:r>
            <w:r w:rsidRPr="00BD13FE">
              <w:rPr>
                <w:rFonts w:cs="Arial"/>
                <w:color w:val="auto"/>
                <w:shd w:val="clear" w:color="auto" w:fill="FFFFFF"/>
                <w:lang w:val="ro-RO" w:eastAsia="ro-RO"/>
              </w:rPr>
              <w:lastRenderedPageBreak/>
              <w:t xml:space="preserve">cu modificările și completările ulterioare, </w:t>
            </w:r>
            <w:r w:rsidRPr="00BD13FE">
              <w:rPr>
                <w:rFonts w:cs="Arial"/>
                <w:color w:val="auto"/>
                <w:shd w:val="clear" w:color="auto" w:fill="FFFFFF"/>
                <w:lang w:val="ro-RO" w:eastAsia="en-US"/>
              </w:rPr>
              <w:t xml:space="preserve">se aprobă, anual, prin lege, plafoanele privind finanţările rambursabile care pot fi contractate de către unităţile/subdiviziunile administrativ-teritoriale şi tragerile din finanţările rambursabile contractate sau care urmează a fi contractate de către unităţile/subdiviziunile administrativ-teritoriale. Astfel, conform dispozițiilor art. 3 alin. (2) – (3) din </w:t>
            </w:r>
            <w:r w:rsidRPr="00BD13FE">
              <w:rPr>
                <w:rFonts w:cs="Arial"/>
                <w:i/>
                <w:color w:val="auto"/>
                <w:shd w:val="clear" w:color="auto" w:fill="FFFFFF"/>
                <w:lang w:val="ro-RO" w:eastAsia="en-US"/>
              </w:rPr>
              <w:t>Legea nr. 269/2017 pentru aprobarea plafoanelor unor indicatori specificaţi în cadrul fiscal-bugetar pe anul 2018</w:t>
            </w:r>
            <w:r w:rsidRPr="00BD13FE">
              <w:rPr>
                <w:rFonts w:cs="Arial"/>
                <w:color w:val="auto"/>
                <w:shd w:val="clear" w:color="auto" w:fill="FFFFFF"/>
                <w:lang w:val="ro-RO" w:eastAsia="en-US"/>
              </w:rPr>
              <w:t>, în anul 2018, plafoanele privind finanţările rambursabile care pot fi contractate de către unităţile/subdiviziunile administrativ-teritoriale și tragerile din finanţările rambursabile contractate sau care urmează a fi contractate de către unităţile/subdiviziunile administrativ-teritoriale sunt în sumă de 1.200 milioane lei fiecare. Valoarea aferentă finanţărilor rambursabile, care poate fi autorizată pentru o unitate/subdiviziune administrativ-teritorială, este de maximum 100 milioane lei anual. Plafoanele menţionate nu cuprind finanţările rambursabile destinate refinanţării datoriei publice locale, finanțările rambursabile destinate proiectelor care beneficiază de fonduri externe nerambursabile de la Uniunea Europeană și nici pe cele destinate proiectelor care beneficiază de fonduri externe nerambursabile de la donatori europeni în cadrul programelor interguvernamentale.</w:t>
            </w:r>
          </w:p>
          <w:p w:rsidR="00841BDA" w:rsidRPr="00BD13FE" w:rsidRDefault="00841BDA" w:rsidP="00841BDA">
            <w:pPr>
              <w:tabs>
                <w:tab w:val="left" w:pos="993"/>
              </w:tabs>
              <w:autoSpaceDE w:val="0"/>
              <w:jc w:val="both"/>
              <w:rPr>
                <w:rFonts w:ascii="Arial" w:hAnsi="Arial" w:cs="Arial"/>
                <w:sz w:val="24"/>
                <w:szCs w:val="24"/>
                <w:shd w:val="clear" w:color="auto" w:fill="FFFFFF"/>
              </w:rPr>
            </w:pPr>
            <w:r w:rsidRPr="00BD13FE">
              <w:rPr>
                <w:rFonts w:ascii="Arial" w:hAnsi="Arial" w:cs="Arial"/>
                <w:sz w:val="24"/>
                <w:szCs w:val="24"/>
                <w:shd w:val="clear" w:color="auto" w:fill="FFFFFF"/>
              </w:rPr>
              <w:t xml:space="preserve">      </w:t>
            </w:r>
            <w:r w:rsidRPr="00BD13FE">
              <w:rPr>
                <w:rFonts w:ascii="Times New Roman" w:hAnsi="Times New Roman" w:cs="Arial"/>
                <w:sz w:val="24"/>
                <w:szCs w:val="24"/>
                <w:shd w:val="clear" w:color="auto" w:fill="FFFFFF"/>
              </w:rPr>
              <w:t xml:space="preserve"> Totodată, </w:t>
            </w:r>
            <w:r w:rsidRPr="00BD13FE">
              <w:rPr>
                <w:rFonts w:ascii="Times New Roman" w:hAnsi="Times New Roman" w:cs="Arial"/>
                <w:b/>
                <w:bCs/>
                <w:sz w:val="24"/>
                <w:szCs w:val="24"/>
                <w:shd w:val="clear" w:color="auto" w:fill="FFFFFF"/>
              </w:rPr>
              <w:t xml:space="preserve">în temeiul art. 63 alin. (10) din </w:t>
            </w:r>
            <w:r w:rsidRPr="00BD13FE">
              <w:rPr>
                <w:rFonts w:ascii="Times New Roman" w:hAnsi="Times New Roman" w:cs="Arial"/>
                <w:b/>
                <w:bCs/>
                <w:i/>
                <w:sz w:val="24"/>
                <w:szCs w:val="24"/>
                <w:shd w:val="clear" w:color="auto" w:fill="FFFFFF"/>
              </w:rPr>
              <w:t>Legea nr. 273/2006 privind finanțele publice locale</w:t>
            </w:r>
            <w:r w:rsidRPr="00BD13FE">
              <w:rPr>
                <w:rFonts w:ascii="Times New Roman" w:hAnsi="Times New Roman" w:cs="Arial"/>
                <w:b/>
                <w:bCs/>
                <w:sz w:val="24"/>
                <w:szCs w:val="24"/>
                <w:shd w:val="clear" w:color="auto" w:fill="FFFFFF"/>
              </w:rPr>
              <w:t>, cu modificările și completările ulterioare,</w:t>
            </w:r>
            <w:r w:rsidRPr="00BD13FE">
              <w:rPr>
                <w:rFonts w:ascii="Times New Roman" w:hAnsi="Times New Roman" w:cs="Arial"/>
                <w:sz w:val="24"/>
                <w:szCs w:val="24"/>
                <w:shd w:val="clear" w:color="auto" w:fill="FFFFFF"/>
              </w:rPr>
              <w:t xml:space="preserve"> pentru încadrarea în nivelul anual al deficitului bugetului general consolidat, la propunerea Ministerului Finanţelor Publice se aprobă, prin hotărâre a Guvernului, limitele anuale pentru finanţările rambursabile care urmează a fi contractate de unităţile/subdiviziunile administrativ-teritoriale şi pentru tragerile ce se pot efectua din finanţările rambursabile contractate sau care urmează a fi contractate, pe o perioadă de 3 ani următori anului în care se aprobă.</w:t>
            </w:r>
          </w:p>
          <w:p w:rsidR="00841BDA" w:rsidRPr="00BD13FE" w:rsidRDefault="00841BDA" w:rsidP="00841BDA">
            <w:pPr>
              <w:tabs>
                <w:tab w:val="left" w:pos="993"/>
              </w:tabs>
              <w:autoSpaceDE w:val="0"/>
              <w:jc w:val="both"/>
              <w:rPr>
                <w:rFonts w:ascii="Arial" w:hAnsi="Arial" w:cs="Arial"/>
              </w:rPr>
            </w:pPr>
            <w:r w:rsidRPr="00BD13FE">
              <w:rPr>
                <w:rFonts w:ascii="Arial" w:hAnsi="Arial" w:cs="Arial"/>
                <w:sz w:val="24"/>
                <w:szCs w:val="24"/>
                <w:shd w:val="clear" w:color="auto" w:fill="FFFFFF"/>
              </w:rPr>
              <w:t xml:space="preserve">        </w:t>
            </w:r>
            <w:r w:rsidRPr="00BD13FE">
              <w:rPr>
                <w:rFonts w:ascii="Times New Roman" w:hAnsi="Times New Roman" w:cs="Arial"/>
                <w:sz w:val="24"/>
                <w:szCs w:val="24"/>
                <w:shd w:val="clear" w:color="auto" w:fill="FFFFFF"/>
              </w:rPr>
              <w:t xml:space="preserve">La stabilirea limitelor prevăzute la alin. (10) nu se includ finanţările rambursabile pentru prefinanţarea şi/sau cofinanţarea proiectelor care beneficiază de fonduri externe nerambursabile de la Uniunea Europeană, inclusiv cele cuprinse în Planul Elen de Reconstrucţie şi Dezvoltare Economică a Balcanilor - HiPERB, şi tragerile din aceste finanţări rambursabile, contractate sau care urmează a fi contractate de unităţile/subdiviziunile administrativ-teritoriale. Astfel, potrivit dispozițiilor art. 1 și 2 din </w:t>
            </w:r>
            <w:r w:rsidRPr="00BD13FE">
              <w:rPr>
                <w:rFonts w:ascii="Times New Roman" w:hAnsi="Times New Roman" w:cs="Arial"/>
                <w:i/>
                <w:sz w:val="24"/>
                <w:szCs w:val="24"/>
                <w:shd w:val="clear" w:color="auto" w:fill="FFFFFF"/>
              </w:rPr>
              <w:t>Hotărârea Guvernului nr. 887/2017 privind aprobarea limitelor anuale, aferente anilor</w:t>
            </w:r>
            <w:r w:rsidRPr="00BD13FE">
              <w:rPr>
                <w:rFonts w:ascii="Arial" w:hAnsi="Arial" w:cs="Arial"/>
                <w:i/>
                <w:sz w:val="24"/>
                <w:szCs w:val="24"/>
                <w:shd w:val="clear" w:color="auto" w:fill="FFFFFF"/>
              </w:rPr>
              <w:t xml:space="preserve"> </w:t>
            </w:r>
            <w:r w:rsidRPr="00BD13FE">
              <w:rPr>
                <w:rFonts w:ascii="Times New Roman" w:hAnsi="Times New Roman" w:cs="Arial"/>
                <w:i/>
                <w:sz w:val="24"/>
                <w:szCs w:val="24"/>
                <w:shd w:val="clear" w:color="auto" w:fill="FFFFFF"/>
              </w:rPr>
              <w:t>2018, 2019 și 2020, pentru finanţările rambursabile care pot fi contractate şi pentru tragerile din finanţările rambursabile contractate sau care urmează a fi contractate de unităţile/subdiviziunile administrativ-teritoriale</w:t>
            </w:r>
            <w:r w:rsidRPr="00BD13FE">
              <w:rPr>
                <w:rFonts w:ascii="Times New Roman" w:hAnsi="Times New Roman" w:cs="Arial"/>
                <w:sz w:val="24"/>
                <w:szCs w:val="24"/>
                <w:shd w:val="clear" w:color="auto" w:fill="FFFFFF"/>
              </w:rPr>
              <w:t xml:space="preserve">, limitele anuale privind finanţările rambursabile care pot fi contractate de către unităţile/subdiviziunile administrativ-teritoriale, precum şi cele privind tragerile din finanţările rambursabile contractate sau care urmează a fi contractate de către unităţile/subdiviziunile administrativ-teritoriale sunt în sumă de 1.200 milioane lei fiecare, pentru fiecare dintre anii 2018, 2019 și 2020. </w:t>
            </w:r>
          </w:p>
          <w:p w:rsidR="00841BDA" w:rsidRPr="00BD13FE" w:rsidRDefault="00841BDA" w:rsidP="00841BDA">
            <w:pPr>
              <w:jc w:val="both"/>
              <w:rPr>
                <w:rFonts w:ascii="Times New Roman" w:hAnsi="Times New Roman" w:cs="Arial"/>
                <w:sz w:val="24"/>
                <w:szCs w:val="24"/>
                <w:shd w:val="clear" w:color="auto" w:fill="FFFFFF"/>
              </w:rPr>
            </w:pPr>
            <w:r w:rsidRPr="00BD13FE">
              <w:rPr>
                <w:rFonts w:ascii="Arial" w:hAnsi="Arial" w:cs="Arial"/>
              </w:rPr>
              <w:t xml:space="preserve">    </w:t>
            </w:r>
            <w:r w:rsidRPr="00BD13FE">
              <w:rPr>
                <w:rFonts w:ascii="Times New Roman" w:hAnsi="Times New Roman" w:cs="Arial"/>
                <w:sz w:val="24"/>
                <w:szCs w:val="24"/>
              </w:rPr>
              <w:t xml:space="preserve"> Potrivit prevederilor art. 61 alin. (3) din Legea nr. 273/2006, cu modificările și completările ulterioare, unitățile/subdiviziunile administrativ-teritoriale pot contracta finanțări rambursabile pentru </w:t>
            </w:r>
            <w:r w:rsidRPr="00BD13FE">
              <w:rPr>
                <w:rFonts w:ascii="Times New Roman" w:hAnsi="Times New Roman" w:cs="Arial"/>
                <w:sz w:val="24"/>
                <w:szCs w:val="24"/>
              </w:rPr>
              <w:lastRenderedPageBreak/>
              <w:t>realizarea investițiilor publice de interes local numai cu avizul Comisiei de autorizare a împrumuturilor locale (CAÎL), care, în conformitate cu alin. (12) al art. 63 din aceeași lege, autorizează finanţările rambursabile care urmează a fi contractate de unităţile/subdiviziunile administrativ-teritoriale, precum şi tragerile ce se pot efectua din finanţările rambursabile contractate sau care urmează a fi contractate, în limita cărora se pot efectua plăţi, cu încadrarea în limitele anuale prevăzute la alin. (10) al art. 63 sus-menționat.</w:t>
            </w:r>
          </w:p>
          <w:p w:rsidR="00841BDA" w:rsidRPr="00BD13FE" w:rsidRDefault="00841BDA" w:rsidP="00841BDA">
            <w:pPr>
              <w:tabs>
                <w:tab w:val="left" w:pos="993"/>
              </w:tabs>
              <w:autoSpaceDE w:val="0"/>
              <w:jc w:val="both"/>
              <w:rPr>
                <w:rFonts w:ascii="Times New Roman" w:hAnsi="Times New Roman" w:cs="Arial"/>
                <w:sz w:val="24"/>
                <w:szCs w:val="24"/>
                <w:shd w:val="clear" w:color="auto" w:fill="FFFFFF"/>
              </w:rPr>
            </w:pPr>
            <w:r w:rsidRPr="00BD13FE">
              <w:rPr>
                <w:rFonts w:ascii="Times New Roman" w:hAnsi="Times New Roman" w:cs="Arial"/>
                <w:sz w:val="24"/>
                <w:szCs w:val="24"/>
                <w:shd w:val="clear" w:color="auto" w:fill="FFFFFF"/>
              </w:rPr>
              <w:t xml:space="preserve">        Menționăm că finanțările rambursabile care intră sub incidența plafoanelor anuale de contractare și de trageri sunt destinate, în majoritate, finanțării de investiții publice de interes local a căror realizare presupune o eșalonare multianuală a implementării și a alocării de resurse, precum și a utilizării respectivelor finanțări. Drept urmare, sub plafonul de trageri aferent unui an intră și autorizările de trageri pentru anul respectiv emise de CAÎL în anii anteriori.  </w:t>
            </w:r>
          </w:p>
          <w:p w:rsidR="00D52B86" w:rsidRPr="00BD13FE" w:rsidRDefault="00841BDA" w:rsidP="00871FB8">
            <w:pPr>
              <w:tabs>
                <w:tab w:val="left" w:pos="993"/>
              </w:tabs>
              <w:autoSpaceDE w:val="0"/>
              <w:jc w:val="both"/>
              <w:rPr>
                <w:rFonts w:ascii="Times New Roman" w:hAnsi="Times New Roman" w:cs="Times New Roman"/>
                <w:sz w:val="24"/>
                <w:szCs w:val="24"/>
                <w:lang w:eastAsia="ro-RO"/>
              </w:rPr>
            </w:pPr>
            <w:r w:rsidRPr="00BD13FE">
              <w:rPr>
                <w:rFonts w:ascii="Times New Roman" w:hAnsi="Times New Roman" w:cs="Arial"/>
                <w:sz w:val="24"/>
                <w:szCs w:val="24"/>
                <w:shd w:val="clear" w:color="auto" w:fill="FFFFFF"/>
              </w:rPr>
              <w:t xml:space="preserve">         La momentul elaborării prezentului proiect de act normativ, valoarea însumată a autorizărilor de trageri emise de CAÎL pentru fiecare dintre anii 2018 și 2019 acoperă integral limitele de trageri aprobate pentru acești ani. În timp ce solicitările autorităţilor administraţiei publice locale pentru autorizarea efectuării de trageri din finanțările rambursabile aflate în derulare, care nu pot fi autorizate de CAÎL din cauza angajării integrale a plafonului pentru anul 2018, însumează peste 130 milioane lei, din totalul tragerilor autorizate pentru acest an, în sumă de 1.200 milioane lei, au fost efectuate trageri în primele opt luni ale anului, conform raportărilor transmise de autoritățile locale, de numai 15,75% din sumele autorizate.                   Drept urmare, autorizarea de trageri pentru acest an pentru oricare unitate administrativ-teritorială depinde de renunțarea la astfel de sume din partea unităților/subdiviziunilor administrativ-teritoriale pentru care există hotărâri de autorizare emise de CAÎL.  </w:t>
            </w:r>
            <w:r w:rsidRPr="00BD13FE">
              <w:rPr>
                <w:rFonts w:ascii="Arial" w:hAnsi="Arial" w:cs="Arial"/>
                <w:sz w:val="24"/>
                <w:szCs w:val="24"/>
                <w:shd w:val="clear" w:color="auto" w:fill="FFFFFF"/>
              </w:rPr>
              <w:t xml:space="preserve">   </w:t>
            </w:r>
          </w:p>
        </w:tc>
      </w:tr>
      <w:tr w:rsidR="00BD13FE" w:rsidRPr="00BD13FE" w:rsidTr="00CB7B7F">
        <w:tc>
          <w:tcPr>
            <w:tcW w:w="2836" w:type="dxa"/>
            <w:tcBorders>
              <w:top w:val="single" w:sz="4" w:space="0" w:color="000000"/>
              <w:left w:val="single" w:sz="4" w:space="0" w:color="000000"/>
              <w:bottom w:val="single" w:sz="4" w:space="0" w:color="000000"/>
              <w:right w:val="nil"/>
            </w:tcBorders>
          </w:tcPr>
          <w:p w:rsidR="003C489F" w:rsidRPr="00BD13FE" w:rsidRDefault="003C489F"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lastRenderedPageBreak/>
              <w:t>1</w:t>
            </w:r>
            <w:r w:rsidRPr="00BD13FE">
              <w:rPr>
                <w:rFonts w:ascii="Times New Roman" w:hAnsi="Times New Roman" w:cs="Times New Roman"/>
                <w:b/>
                <w:bCs/>
                <w:sz w:val="24"/>
                <w:szCs w:val="24"/>
                <w:vertAlign w:val="superscript"/>
              </w:rPr>
              <w:t>1</w:t>
            </w:r>
            <w:r w:rsidRPr="00BD13FE">
              <w:rPr>
                <w:rFonts w:ascii="Times New Roman" w:hAnsi="Times New Roman" w:cs="Times New Roman"/>
                <w:b/>
                <w:bCs/>
                <w:sz w:val="24"/>
                <w:szCs w:val="24"/>
              </w:rPr>
              <w:t>. În cazul proiectelor de acte normative care transpun legislaţie comunitară sau creează cadrul pentru aplicarea directă a acesteia, se vor specifica doar actele comunitare în cauză, însoţite de elementele de identificare ale acestora</w:t>
            </w:r>
          </w:p>
        </w:tc>
        <w:tc>
          <w:tcPr>
            <w:tcW w:w="6804" w:type="dxa"/>
            <w:gridSpan w:val="10"/>
            <w:tcBorders>
              <w:top w:val="single" w:sz="4" w:space="0" w:color="000000"/>
              <w:left w:val="single" w:sz="4" w:space="0" w:color="000000"/>
              <w:bottom w:val="single" w:sz="4" w:space="0" w:color="000000"/>
              <w:right w:val="single" w:sz="4" w:space="0" w:color="000000"/>
            </w:tcBorders>
          </w:tcPr>
          <w:p w:rsidR="003C489F" w:rsidRPr="00BD13FE" w:rsidRDefault="003C489F" w:rsidP="00DA1056">
            <w:pPr>
              <w:ind w:left="-3"/>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 este cazul</w:t>
            </w:r>
          </w:p>
        </w:tc>
      </w:tr>
      <w:tr w:rsidR="00BD13FE" w:rsidRPr="00BD13FE" w:rsidTr="00CB7B7F">
        <w:tc>
          <w:tcPr>
            <w:tcW w:w="2836" w:type="dxa"/>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eastAsia="Calibri" w:hAnsi="Times New Roman" w:cs="Times New Roman"/>
                <w:bCs/>
                <w:sz w:val="24"/>
                <w:szCs w:val="24"/>
              </w:rPr>
            </w:pPr>
            <w:r w:rsidRPr="00BD13FE">
              <w:rPr>
                <w:rFonts w:ascii="Times New Roman" w:hAnsi="Times New Roman" w:cs="Times New Roman"/>
                <w:b/>
                <w:bCs/>
                <w:sz w:val="24"/>
                <w:szCs w:val="24"/>
              </w:rPr>
              <w:t>2.</w:t>
            </w:r>
            <w:r w:rsidR="003C489F" w:rsidRPr="00BD13FE">
              <w:rPr>
                <w:rFonts w:ascii="Times New Roman" w:hAnsi="Times New Roman" w:cs="Times New Roman"/>
                <w:b/>
                <w:bCs/>
                <w:sz w:val="24"/>
                <w:szCs w:val="24"/>
              </w:rPr>
              <w:t xml:space="preserve"> </w:t>
            </w:r>
            <w:r w:rsidRPr="00BD13FE">
              <w:rPr>
                <w:rFonts w:ascii="Times New Roman" w:hAnsi="Times New Roman" w:cs="Times New Roman"/>
                <w:b/>
                <w:bCs/>
                <w:sz w:val="24"/>
                <w:szCs w:val="24"/>
              </w:rPr>
              <w:t>Schimbări preconizate</w:t>
            </w:r>
          </w:p>
        </w:tc>
        <w:tc>
          <w:tcPr>
            <w:tcW w:w="6804" w:type="dxa"/>
            <w:gridSpan w:val="10"/>
            <w:tcBorders>
              <w:top w:val="single" w:sz="4" w:space="0" w:color="000000"/>
              <w:left w:val="single" w:sz="4" w:space="0" w:color="000000"/>
              <w:bottom w:val="single" w:sz="4" w:space="0" w:color="000000"/>
              <w:right w:val="single" w:sz="4" w:space="0" w:color="000000"/>
            </w:tcBorders>
          </w:tcPr>
          <w:p w:rsidR="00DA1056" w:rsidRPr="00BD13FE" w:rsidRDefault="0069016A" w:rsidP="003C489F">
            <w:pPr>
              <w:contextualSpacing/>
              <w:jc w:val="both"/>
              <w:rPr>
                <w:rFonts w:ascii="Times New Roman" w:hAnsi="Times New Roman" w:cs="Times New Roman"/>
                <w:sz w:val="24"/>
                <w:szCs w:val="24"/>
                <w:lang w:eastAsia="ro-RO"/>
              </w:rPr>
            </w:pPr>
            <w:r w:rsidRPr="00BD13FE">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C489F" w:rsidRPr="00BD13FE">
              <w:rPr>
                <w:rFonts w:ascii="Times New Roman" w:eastAsia="Calibri" w:hAnsi="Times New Roman" w:cs="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489F"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1056" w:rsidRPr="00BD13FE">
              <w:rPr>
                <w:rFonts w:ascii="Times New Roman" w:hAnsi="Times New Roman" w:cs="Times New Roman"/>
                <w:sz w:val="24"/>
                <w:szCs w:val="24"/>
                <w:lang w:eastAsia="ro-RO"/>
              </w:rPr>
              <w:t xml:space="preserve">Începând cu data intrării în vigoare a prezentei </w:t>
            </w:r>
            <w:r w:rsidR="00500B39" w:rsidRPr="00BD13FE">
              <w:rPr>
                <w:rFonts w:ascii="Times New Roman" w:hAnsi="Times New Roman" w:cs="Times New Roman"/>
                <w:sz w:val="24"/>
                <w:szCs w:val="24"/>
                <w:lang w:eastAsia="ro-RO"/>
              </w:rPr>
              <w:t>ordonanțe</w:t>
            </w:r>
            <w:r w:rsidR="00DA1056" w:rsidRPr="00BD13FE">
              <w:rPr>
                <w:rFonts w:ascii="Times New Roman" w:hAnsi="Times New Roman" w:cs="Times New Roman"/>
                <w:sz w:val="24"/>
                <w:szCs w:val="24"/>
                <w:lang w:eastAsia="ro-RO"/>
              </w:rPr>
              <w:t xml:space="preserve"> de </w:t>
            </w:r>
            <w:r w:rsidR="00500B39" w:rsidRPr="00BD13FE">
              <w:rPr>
                <w:rFonts w:ascii="Times New Roman" w:hAnsi="Times New Roman" w:cs="Times New Roman"/>
                <w:sz w:val="24"/>
                <w:szCs w:val="24"/>
                <w:lang w:eastAsia="ro-RO"/>
              </w:rPr>
              <w:t>urgență</w:t>
            </w:r>
            <w:r w:rsidR="00DA1056" w:rsidRPr="00BD13FE">
              <w:rPr>
                <w:rFonts w:ascii="Times New Roman" w:hAnsi="Times New Roman" w:cs="Times New Roman"/>
                <w:sz w:val="24"/>
                <w:szCs w:val="24"/>
                <w:lang w:eastAsia="ro-RO"/>
              </w:rPr>
              <w:t xml:space="preserve">, prin derogare de la prevederile art. 61 alin. (1) şi art. 63 alin (41) din Legea nr. 273/2006 privind </w:t>
            </w:r>
            <w:r w:rsidR="00500B39" w:rsidRPr="00BD13FE">
              <w:rPr>
                <w:rFonts w:ascii="Times New Roman" w:hAnsi="Times New Roman" w:cs="Times New Roman"/>
                <w:sz w:val="24"/>
                <w:szCs w:val="24"/>
                <w:lang w:eastAsia="ro-RO"/>
              </w:rPr>
              <w:t>finanțele</w:t>
            </w:r>
            <w:r w:rsidR="00DA1056" w:rsidRPr="00BD13FE">
              <w:rPr>
                <w:rFonts w:ascii="Times New Roman" w:hAnsi="Times New Roman" w:cs="Times New Roman"/>
                <w:sz w:val="24"/>
                <w:szCs w:val="24"/>
                <w:lang w:eastAsia="ro-RO"/>
              </w:rPr>
              <w:t xml:space="preserve"> publice locale, cu modificările şi completările ulterioare, precum şi de la prevederile art. 3 alin. (2) din Legea nr. 269/2017 pentru aprobarea plafoanelor unor indicatori </w:t>
            </w:r>
            <w:r w:rsidR="00500B39" w:rsidRPr="00BD13FE">
              <w:rPr>
                <w:rFonts w:ascii="Times New Roman" w:hAnsi="Times New Roman" w:cs="Times New Roman"/>
                <w:sz w:val="24"/>
                <w:szCs w:val="24"/>
                <w:lang w:eastAsia="ro-RO"/>
              </w:rPr>
              <w:t>specificați</w:t>
            </w:r>
            <w:r w:rsidR="00DA1056" w:rsidRPr="00BD13FE">
              <w:rPr>
                <w:rFonts w:ascii="Times New Roman" w:hAnsi="Times New Roman" w:cs="Times New Roman"/>
                <w:sz w:val="24"/>
                <w:szCs w:val="24"/>
                <w:lang w:eastAsia="ro-RO"/>
              </w:rPr>
              <w:t xml:space="preserve"> în cadrul fiscal-bugetar pe anul 2018, </w:t>
            </w:r>
            <w:r w:rsidR="00500B39" w:rsidRPr="00BD13FE">
              <w:rPr>
                <w:rFonts w:ascii="Times New Roman" w:hAnsi="Times New Roman" w:cs="Times New Roman"/>
                <w:sz w:val="24"/>
                <w:szCs w:val="24"/>
                <w:lang w:eastAsia="ro-RO"/>
              </w:rPr>
              <w:t>unitățile</w:t>
            </w:r>
            <w:r w:rsidR="00DA1056" w:rsidRPr="00BD13FE">
              <w:rPr>
                <w:rFonts w:ascii="Times New Roman" w:hAnsi="Times New Roman" w:cs="Times New Roman"/>
                <w:sz w:val="24"/>
                <w:szCs w:val="24"/>
                <w:lang w:eastAsia="ro-RO"/>
              </w:rPr>
              <w:t xml:space="preserve"> administrativ-teritoriale pot solicita, în cursul anului 2018, contractarea de împrumuturi din venituri din privatizare, înregistrate în contul curent general al Trezoreriei Statului, în limita sumei de </w:t>
            </w:r>
            <w:r w:rsidR="00140630" w:rsidRPr="00BD13FE">
              <w:rPr>
                <w:rFonts w:ascii="Times New Roman" w:hAnsi="Times New Roman" w:cs="Times New Roman"/>
                <w:sz w:val="24"/>
                <w:szCs w:val="24"/>
                <w:lang w:eastAsia="ro-RO"/>
              </w:rPr>
              <w:lastRenderedPageBreak/>
              <w:t>450</w:t>
            </w:r>
            <w:r w:rsidR="00DA1056" w:rsidRPr="00BD13FE">
              <w:rPr>
                <w:rFonts w:ascii="Times New Roman" w:hAnsi="Times New Roman" w:cs="Times New Roman"/>
                <w:sz w:val="24"/>
                <w:szCs w:val="24"/>
                <w:lang w:eastAsia="ro-RO"/>
              </w:rPr>
              <w:t xml:space="preserve">.000 mii lei, pentru </w:t>
            </w:r>
            <w:r w:rsidR="00500B39" w:rsidRPr="00BD13FE">
              <w:rPr>
                <w:rFonts w:ascii="Times New Roman" w:hAnsi="Times New Roman" w:cs="Times New Roman"/>
                <w:sz w:val="24"/>
                <w:szCs w:val="24"/>
                <w:lang w:eastAsia="ro-RO"/>
              </w:rPr>
              <w:t>finanțarea</w:t>
            </w:r>
            <w:r w:rsidR="00DA1056" w:rsidRPr="00BD13FE">
              <w:rPr>
                <w:rFonts w:ascii="Times New Roman" w:hAnsi="Times New Roman" w:cs="Times New Roman"/>
                <w:sz w:val="24"/>
                <w:szCs w:val="24"/>
                <w:lang w:eastAsia="ro-RO"/>
              </w:rPr>
              <w:t xml:space="preserve"> unor cheltuieli curente pentru asigurarea furnizării energiei termice în sezonul rece.</w:t>
            </w:r>
          </w:p>
          <w:p w:rsidR="00DA1056" w:rsidRPr="00BD13FE" w:rsidRDefault="00500B39" w:rsidP="00DA1056">
            <w:pPr>
              <w:autoSpaceDE w:val="0"/>
              <w:autoSpaceDN w:val="0"/>
              <w:adjustRightInd w:val="0"/>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Unitățile</w:t>
            </w:r>
            <w:r w:rsidR="00DA1056" w:rsidRPr="00BD13FE">
              <w:rPr>
                <w:rFonts w:ascii="Times New Roman" w:hAnsi="Times New Roman" w:cs="Times New Roman"/>
                <w:sz w:val="24"/>
                <w:szCs w:val="24"/>
                <w:lang w:eastAsia="ro-RO"/>
              </w:rPr>
              <w:t xml:space="preserve"> administrativ-teritoriale pot contracta împrumuturile numai cu avizul Comisiei de autorizare a împrumuturilor locale, şi numai dacă la data depunerii </w:t>
            </w:r>
            <w:r w:rsidRPr="00BD13FE">
              <w:rPr>
                <w:rFonts w:ascii="Times New Roman" w:hAnsi="Times New Roman" w:cs="Times New Roman"/>
                <w:sz w:val="24"/>
                <w:szCs w:val="24"/>
                <w:lang w:eastAsia="ro-RO"/>
              </w:rPr>
              <w:t>documentației</w:t>
            </w:r>
            <w:r w:rsidR="00DA1056" w:rsidRPr="00BD13FE">
              <w:rPr>
                <w:rFonts w:ascii="Times New Roman" w:hAnsi="Times New Roman" w:cs="Times New Roman"/>
                <w:sz w:val="24"/>
                <w:szCs w:val="24"/>
                <w:lang w:eastAsia="ro-RO"/>
              </w:rPr>
              <w:t xml:space="preserve"> nu prezintă </w:t>
            </w:r>
            <w:r w:rsidRPr="00BD13FE">
              <w:rPr>
                <w:rFonts w:ascii="Times New Roman" w:hAnsi="Times New Roman" w:cs="Times New Roman"/>
                <w:sz w:val="24"/>
                <w:szCs w:val="24"/>
                <w:lang w:eastAsia="ro-RO"/>
              </w:rPr>
              <w:t>restanțe</w:t>
            </w:r>
            <w:r w:rsidR="00DA1056" w:rsidRPr="00BD13FE">
              <w:rPr>
                <w:rFonts w:ascii="Times New Roman" w:hAnsi="Times New Roman" w:cs="Times New Roman"/>
                <w:sz w:val="24"/>
                <w:szCs w:val="24"/>
                <w:lang w:eastAsia="ro-RO"/>
              </w:rPr>
              <w:t xml:space="preserve"> la împrumuturile contractate anterior din venituri din privatizare. Documentele in vederea </w:t>
            </w:r>
            <w:r w:rsidRPr="00BD13FE">
              <w:rPr>
                <w:rFonts w:ascii="Times New Roman" w:hAnsi="Times New Roman" w:cs="Times New Roman"/>
                <w:sz w:val="24"/>
                <w:szCs w:val="24"/>
                <w:lang w:eastAsia="ro-RO"/>
              </w:rPr>
              <w:t>contractării</w:t>
            </w:r>
            <w:r w:rsidR="00DA1056" w:rsidRPr="00BD13FE">
              <w:rPr>
                <w:rFonts w:ascii="Times New Roman" w:hAnsi="Times New Roman" w:cs="Times New Roman"/>
                <w:sz w:val="24"/>
                <w:szCs w:val="24"/>
                <w:lang w:eastAsia="ro-RO"/>
              </w:rPr>
              <w:t xml:space="preserve"> </w:t>
            </w:r>
            <w:r w:rsidRPr="00BD13FE">
              <w:rPr>
                <w:rFonts w:ascii="Times New Roman" w:hAnsi="Times New Roman" w:cs="Times New Roman"/>
                <w:sz w:val="24"/>
                <w:szCs w:val="24"/>
                <w:lang w:eastAsia="ro-RO"/>
              </w:rPr>
              <w:t>împrumutului</w:t>
            </w:r>
            <w:r w:rsidR="00DA1056" w:rsidRPr="00BD13FE">
              <w:rPr>
                <w:rFonts w:ascii="Times New Roman" w:hAnsi="Times New Roman" w:cs="Times New Roman"/>
                <w:sz w:val="24"/>
                <w:szCs w:val="24"/>
                <w:lang w:eastAsia="ro-RO"/>
              </w:rPr>
              <w:t xml:space="preserve"> se depun până la data de 29 noiembrie 2018 la </w:t>
            </w:r>
            <w:r w:rsidRPr="00BD13FE">
              <w:rPr>
                <w:rFonts w:ascii="Times New Roman" w:hAnsi="Times New Roman" w:cs="Times New Roman"/>
                <w:sz w:val="24"/>
                <w:szCs w:val="24"/>
                <w:lang w:eastAsia="ro-RO"/>
              </w:rPr>
              <w:t>direcțiile</w:t>
            </w:r>
            <w:r w:rsidR="00DA1056" w:rsidRPr="00BD13FE">
              <w:rPr>
                <w:rFonts w:ascii="Times New Roman" w:hAnsi="Times New Roman" w:cs="Times New Roman"/>
                <w:sz w:val="24"/>
                <w:szCs w:val="24"/>
                <w:lang w:eastAsia="ro-RO"/>
              </w:rPr>
              <w:t xml:space="preserve"> generale regionale ale </w:t>
            </w:r>
            <w:r w:rsidRPr="00BD13FE">
              <w:rPr>
                <w:rFonts w:ascii="Times New Roman" w:hAnsi="Times New Roman" w:cs="Times New Roman"/>
                <w:sz w:val="24"/>
                <w:szCs w:val="24"/>
                <w:lang w:eastAsia="ro-RO"/>
              </w:rPr>
              <w:t>finanțelor</w:t>
            </w:r>
            <w:r w:rsidR="00DA1056" w:rsidRPr="00BD13FE">
              <w:rPr>
                <w:rFonts w:ascii="Times New Roman" w:hAnsi="Times New Roman" w:cs="Times New Roman"/>
                <w:sz w:val="24"/>
                <w:szCs w:val="24"/>
                <w:lang w:eastAsia="ro-RO"/>
              </w:rPr>
              <w:t xml:space="preserve"> publice/</w:t>
            </w:r>
            <w:r w:rsidRPr="00BD13FE">
              <w:rPr>
                <w:rFonts w:ascii="Times New Roman" w:hAnsi="Times New Roman" w:cs="Times New Roman"/>
                <w:sz w:val="24"/>
                <w:szCs w:val="24"/>
                <w:lang w:eastAsia="ro-RO"/>
              </w:rPr>
              <w:t>administrațiile</w:t>
            </w:r>
            <w:r w:rsidR="00DA1056" w:rsidRPr="00BD13FE">
              <w:rPr>
                <w:rFonts w:ascii="Times New Roman" w:hAnsi="Times New Roman" w:cs="Times New Roman"/>
                <w:sz w:val="24"/>
                <w:szCs w:val="24"/>
                <w:lang w:eastAsia="ro-RO"/>
              </w:rPr>
              <w:t xml:space="preserve"> </w:t>
            </w:r>
            <w:r w:rsidRPr="00BD13FE">
              <w:rPr>
                <w:rFonts w:ascii="Times New Roman" w:hAnsi="Times New Roman" w:cs="Times New Roman"/>
                <w:sz w:val="24"/>
                <w:szCs w:val="24"/>
                <w:lang w:eastAsia="ro-RO"/>
              </w:rPr>
              <w:t>județene</w:t>
            </w:r>
            <w:r w:rsidR="00DA1056" w:rsidRPr="00BD13FE">
              <w:rPr>
                <w:rFonts w:ascii="Times New Roman" w:hAnsi="Times New Roman" w:cs="Times New Roman"/>
                <w:sz w:val="24"/>
                <w:szCs w:val="24"/>
                <w:lang w:eastAsia="ro-RO"/>
              </w:rPr>
              <w:t xml:space="preserve"> ale </w:t>
            </w:r>
            <w:r w:rsidRPr="00BD13FE">
              <w:rPr>
                <w:rFonts w:ascii="Times New Roman" w:hAnsi="Times New Roman" w:cs="Times New Roman"/>
                <w:sz w:val="24"/>
                <w:szCs w:val="24"/>
                <w:lang w:eastAsia="ro-RO"/>
              </w:rPr>
              <w:t>finanțelor</w:t>
            </w:r>
            <w:r w:rsidR="00DA1056" w:rsidRPr="00BD13FE">
              <w:rPr>
                <w:rFonts w:ascii="Times New Roman" w:hAnsi="Times New Roman" w:cs="Times New Roman"/>
                <w:sz w:val="24"/>
                <w:szCs w:val="24"/>
                <w:lang w:eastAsia="ro-RO"/>
              </w:rPr>
              <w:t xml:space="preserve"> publice.</w:t>
            </w:r>
          </w:p>
          <w:p w:rsidR="00476274" w:rsidRPr="00BD13FE" w:rsidRDefault="00476274" w:rsidP="00476274">
            <w:pPr>
              <w:ind w:firstLine="499"/>
              <w:contextualSpacing/>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 xml:space="preserve">Pentru unitățile administrativ-teritoriale care nu pot asigura sumele necesare pentru acoperirea cheltuielilor </w:t>
            </w:r>
            <w:r w:rsidR="006F7ACF" w:rsidRPr="00BD13FE">
              <w:rPr>
                <w:rFonts w:ascii="Times New Roman" w:hAnsi="Times New Roman" w:cs="Times New Roman"/>
                <w:sz w:val="24"/>
                <w:szCs w:val="24"/>
                <w:lang w:eastAsia="ro-RO"/>
              </w:rPr>
              <w:t xml:space="preserve">secțiunii </w:t>
            </w:r>
            <w:r w:rsidRPr="00BD13FE">
              <w:rPr>
                <w:rFonts w:ascii="Times New Roman" w:hAnsi="Times New Roman" w:cs="Times New Roman"/>
                <w:sz w:val="24"/>
                <w:szCs w:val="24"/>
                <w:lang w:eastAsia="ro-RO"/>
              </w:rPr>
              <w:t xml:space="preserve">de funcționare </w:t>
            </w:r>
            <w:r w:rsidR="006F7ACF" w:rsidRPr="00BD13FE">
              <w:rPr>
                <w:rFonts w:ascii="Times New Roman" w:hAnsi="Times New Roman" w:cs="Times New Roman"/>
                <w:sz w:val="24"/>
                <w:szCs w:val="24"/>
                <w:lang w:eastAsia="ro-RO"/>
              </w:rPr>
              <w:t xml:space="preserve">a bugetelor locale </w:t>
            </w:r>
            <w:r w:rsidRPr="00BD13FE">
              <w:rPr>
                <w:rFonts w:ascii="Times New Roman" w:hAnsi="Times New Roman" w:cs="Times New Roman"/>
                <w:sz w:val="24"/>
                <w:szCs w:val="24"/>
                <w:lang w:eastAsia="ro-RO"/>
              </w:rPr>
              <w:t xml:space="preserve">se impune crearea unui temei legal pentru </w:t>
            </w:r>
            <w:r w:rsidR="006F7ACF" w:rsidRPr="00BD13FE">
              <w:rPr>
                <w:rFonts w:ascii="Times New Roman" w:hAnsi="Times New Roman" w:cs="Times New Roman"/>
                <w:sz w:val="24"/>
                <w:szCs w:val="24"/>
                <w:lang w:eastAsia="ro-RO"/>
              </w:rPr>
              <w:t xml:space="preserve">extinderea categoriilor de cheltuieli </w:t>
            </w:r>
            <w:r w:rsidR="00A74D89" w:rsidRPr="00BD13FE">
              <w:rPr>
                <w:rFonts w:ascii="Times New Roman" w:hAnsi="Times New Roman" w:cs="Times New Roman"/>
                <w:sz w:val="24"/>
                <w:szCs w:val="24"/>
                <w:lang w:eastAsia="ro-RO"/>
              </w:rPr>
              <w:t>ce se pot finanța</w:t>
            </w:r>
            <w:r w:rsidRPr="00BD13FE">
              <w:rPr>
                <w:rFonts w:ascii="Times New Roman" w:hAnsi="Times New Roman" w:cs="Times New Roman"/>
                <w:sz w:val="24"/>
                <w:szCs w:val="24"/>
                <w:lang w:eastAsia="ro-RO"/>
              </w:rPr>
              <w:t xml:space="preserve"> din excedentul</w:t>
            </w:r>
            <w:r w:rsidR="00A74D89" w:rsidRPr="00BD13FE">
              <w:rPr>
                <w:rFonts w:ascii="Times New Roman" w:hAnsi="Times New Roman" w:cs="Times New Roman"/>
                <w:sz w:val="24"/>
                <w:szCs w:val="24"/>
                <w:lang w:eastAsia="ro-RO"/>
              </w:rPr>
              <w:t xml:space="preserve"> bugetului local</w:t>
            </w:r>
            <w:r w:rsidRPr="00BD13FE">
              <w:rPr>
                <w:rFonts w:ascii="Times New Roman" w:hAnsi="Times New Roman" w:cs="Times New Roman"/>
                <w:sz w:val="24"/>
                <w:szCs w:val="24"/>
                <w:lang w:eastAsia="ro-RO"/>
              </w:rPr>
              <w:t xml:space="preserve">. </w:t>
            </w:r>
          </w:p>
          <w:p w:rsidR="003C489F" w:rsidRPr="00BD13FE" w:rsidRDefault="003C489F" w:rsidP="00476274">
            <w:pPr>
              <w:ind w:firstLine="499"/>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89F" w:rsidRPr="00BD13FE" w:rsidRDefault="0069016A" w:rsidP="00427932">
            <w:pPr>
              <w:ind w:right="142"/>
              <w:jc w:val="both"/>
              <w:rPr>
                <w:rFonts w:ascii="Times New Roman" w:hAnsi="Times New Roman" w:cs="Times New Roman"/>
                <w:b/>
                <w:sz w:val="24"/>
                <w:szCs w:val="24"/>
                <w:lang w:eastAsia="ro-RO"/>
              </w:rPr>
            </w:pPr>
            <w:r w:rsidRPr="00BD13FE">
              <w:rPr>
                <w:rFonts w:ascii="Times New Roman" w:hAnsi="Times New Roman" w:cs="Times New Roman"/>
                <w:b/>
                <w:sz w:val="24"/>
                <w:szCs w:val="24"/>
                <w:lang w:eastAsia="ro-RO"/>
              </w:rPr>
              <w:t>2</w:t>
            </w:r>
            <w:r w:rsidR="00427932" w:rsidRPr="00BD13FE">
              <w:rPr>
                <w:rFonts w:ascii="Times New Roman" w:hAnsi="Times New Roman" w:cs="Times New Roman"/>
                <w:b/>
                <w:sz w:val="24"/>
                <w:szCs w:val="24"/>
                <w:lang w:eastAsia="ro-RO"/>
              </w:rPr>
              <w:t xml:space="preserve">. </w:t>
            </w:r>
            <w:r w:rsidR="003C489F" w:rsidRPr="00BD13FE">
              <w:rPr>
                <w:rFonts w:ascii="Times New Roman" w:hAnsi="Times New Roman" w:cs="Times New Roman"/>
                <w:b/>
                <w:sz w:val="24"/>
                <w:szCs w:val="24"/>
                <w:lang w:eastAsia="ro-RO"/>
              </w:rPr>
              <w:t>Legea nr. 227/2015 privind Codul fiscal, cu modificările și completările ulterioare</w:t>
            </w:r>
          </w:p>
          <w:p w:rsidR="00520CA8" w:rsidRPr="00BD13FE" w:rsidRDefault="00520CA8" w:rsidP="00520CA8">
            <w:pPr>
              <w:ind w:right="67" w:firstLine="567"/>
              <w:jc w:val="both"/>
              <w:rPr>
                <w:rFonts w:ascii="Times New Roman" w:hAnsi="Times New Roman" w:cs="Times New Roman"/>
                <w:b/>
                <w:sz w:val="24"/>
                <w:szCs w:val="24"/>
                <w:u w:val="single"/>
                <w:lang w:eastAsia="ro-RO"/>
              </w:rPr>
            </w:pPr>
          </w:p>
          <w:p w:rsidR="00520CA8" w:rsidRPr="00BD13FE" w:rsidRDefault="00520CA8" w:rsidP="00520CA8">
            <w:pPr>
              <w:ind w:right="67" w:firstLine="567"/>
              <w:jc w:val="both"/>
              <w:rPr>
                <w:rFonts w:ascii="Times New Roman" w:hAnsi="Times New Roman" w:cs="Times New Roman"/>
                <w:b/>
                <w:sz w:val="24"/>
                <w:szCs w:val="24"/>
                <w:lang w:eastAsia="ro-RO"/>
              </w:rPr>
            </w:pPr>
            <w:r w:rsidRPr="00BD13FE">
              <w:rPr>
                <w:rFonts w:ascii="Times New Roman" w:hAnsi="Times New Roman" w:cs="Times New Roman"/>
                <w:b/>
                <w:sz w:val="24"/>
                <w:szCs w:val="24"/>
                <w:lang w:eastAsia="ro-RO"/>
              </w:rPr>
              <w:t xml:space="preserve">Titlul II - Impozitul pe profit </w:t>
            </w:r>
          </w:p>
          <w:p w:rsidR="00520CA8" w:rsidRPr="00BD13FE" w:rsidRDefault="00520CA8" w:rsidP="00520CA8">
            <w:pPr>
              <w:ind w:right="67" w:firstLine="567"/>
              <w:jc w:val="both"/>
              <w:rPr>
                <w:rFonts w:ascii="Times New Roman" w:hAnsi="Times New Roman" w:cs="Times New Roman"/>
                <w:b/>
                <w:sz w:val="24"/>
                <w:szCs w:val="24"/>
                <w:u w:val="single"/>
                <w:lang w:eastAsia="ro-RO"/>
              </w:rPr>
            </w:pPr>
          </w:p>
          <w:p w:rsidR="00520CA8" w:rsidRPr="00BD13FE" w:rsidRDefault="00520CA8" w:rsidP="00520CA8">
            <w:pPr>
              <w:suppressAutoHyphens/>
              <w:autoSpaceDE w:val="0"/>
              <w:ind w:right="67"/>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Pentru contribuabilii care au implementat schimbarea politicilor contabile aplicabile instrumentelor financiare, ca urmare a IFRS 9, adoptat prin Regulamentul (UE) 2016/2027 al Comisiei Europene, se propune aplicarea acelorași principii/reguli fiscale care s-au aplicat inițial la transpunerea IRFS ca bază a contabilității. Astfel, pentru sumele înregistrate în rezultatul reportat provenit din alte ajustări, ca urmare a implementării reglementărilor contabile conforme cu Standardele internaţionale de raportare financiară ca bază a contabilităţii, cu excepţia sumelor care provin din actualizarea cu rata inflaţiei, se aplică următorul tratament fiscal:</w:t>
            </w:r>
          </w:p>
          <w:p w:rsidR="00520CA8" w:rsidRPr="00BD13FE" w:rsidRDefault="00520CA8" w:rsidP="00520CA8">
            <w:pPr>
              <w:numPr>
                <w:ilvl w:val="0"/>
                <w:numId w:val="8"/>
              </w:numPr>
              <w:suppressAutoHyphens/>
              <w:autoSpaceDE w:val="0"/>
              <w:ind w:left="714" w:right="67" w:hanging="357"/>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sumele care provin din anularea unor cheltuieli pentru care s-a acordat deducere reprezintă elemente similare veniturilor;</w:t>
            </w:r>
          </w:p>
          <w:p w:rsidR="00520CA8" w:rsidRPr="00BD13FE" w:rsidRDefault="00520CA8" w:rsidP="00520CA8">
            <w:pPr>
              <w:numPr>
                <w:ilvl w:val="0"/>
                <w:numId w:val="8"/>
              </w:numPr>
              <w:suppressAutoHyphens/>
              <w:autoSpaceDE w:val="0"/>
              <w:ind w:left="714" w:right="67" w:hanging="357"/>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sumele care reprezintă elemente de natura veniturilor înregistrate potrivit reglementărilor contabile conforme cu Standardele internaţionale de raportare financiară reprezintă elemente similare veniturilor, cu excepţia celor prevăzute la art. 23 şi art. 24;</w:t>
            </w:r>
          </w:p>
          <w:p w:rsidR="00520CA8" w:rsidRPr="00BD13FE" w:rsidRDefault="00520CA8" w:rsidP="00520CA8">
            <w:pPr>
              <w:numPr>
                <w:ilvl w:val="0"/>
                <w:numId w:val="8"/>
              </w:numPr>
              <w:suppressAutoHyphens/>
              <w:autoSpaceDE w:val="0"/>
              <w:ind w:left="714" w:right="67" w:hanging="357"/>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sumele care reprezintă elemente de natura cheltuielilor înregistrate potrivit reglementărilor contabile conforme cu Standardele internaţionale de raportare financiară sunt considerate elemente similare cheltuielilor numai dacă acestea sunt deductibile în conformitate cu prevederile art. 25;</w:t>
            </w:r>
          </w:p>
          <w:p w:rsidR="00520CA8" w:rsidRPr="00BD13FE" w:rsidRDefault="00520CA8" w:rsidP="00520CA8">
            <w:pPr>
              <w:numPr>
                <w:ilvl w:val="0"/>
                <w:numId w:val="8"/>
              </w:numPr>
              <w:suppressAutoHyphens/>
              <w:autoSpaceDE w:val="0"/>
              <w:ind w:left="714" w:right="67" w:hanging="357"/>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sumele care provin din anularea unor cheltuieli pentru care nu s-a acordat deducere nu reprezintă elemente similare veniturilor;</w:t>
            </w:r>
          </w:p>
          <w:p w:rsidR="00520CA8" w:rsidRPr="00BD13FE" w:rsidRDefault="00520CA8" w:rsidP="00520CA8">
            <w:pPr>
              <w:numPr>
                <w:ilvl w:val="0"/>
                <w:numId w:val="8"/>
              </w:numPr>
              <w:suppressAutoHyphens/>
              <w:autoSpaceDE w:val="0"/>
              <w:ind w:left="714" w:right="67" w:hanging="357"/>
              <w:jc w:val="both"/>
              <w:rPr>
                <w:rFonts w:ascii="Times New Roman" w:hAnsi="Times New Roman" w:cs="Times New Roman"/>
                <w:sz w:val="24"/>
                <w:szCs w:val="24"/>
                <w:lang w:eastAsia="ro-RO"/>
              </w:rPr>
            </w:pPr>
            <w:r w:rsidRPr="00BD13FE">
              <w:rPr>
                <w:rFonts w:ascii="Times New Roman" w:hAnsi="Times New Roman" w:cs="Times New Roman"/>
                <w:sz w:val="24"/>
                <w:szCs w:val="24"/>
                <w:lang w:eastAsia="ro-RO"/>
              </w:rPr>
              <w:t xml:space="preserve"> sumele care provin din anularea unor venituri care au reprezentat venituri neimpozabile nu reprezintă elemente similare cheltuielilor.</w:t>
            </w:r>
          </w:p>
          <w:p w:rsidR="00520CA8" w:rsidRPr="00BD13FE" w:rsidRDefault="00520CA8" w:rsidP="00520CA8">
            <w:pPr>
              <w:suppressAutoHyphens/>
              <w:autoSpaceDE w:val="0"/>
              <w:ind w:left="714" w:right="67"/>
              <w:jc w:val="both"/>
              <w:rPr>
                <w:rFonts w:ascii="Times New Roman" w:hAnsi="Times New Roman" w:cs="Times New Roman"/>
                <w:sz w:val="24"/>
                <w:szCs w:val="24"/>
                <w:lang w:eastAsia="ro-RO"/>
              </w:rPr>
            </w:pPr>
          </w:p>
          <w:p w:rsidR="00520CA8" w:rsidRPr="00BD13FE" w:rsidRDefault="00520CA8" w:rsidP="00520CA8">
            <w:pPr>
              <w:autoSpaceDE w:val="0"/>
              <w:ind w:right="67" w:firstLine="220"/>
              <w:jc w:val="both"/>
              <w:rPr>
                <w:rFonts w:ascii="Times New Roman" w:eastAsia="Calibri" w:hAnsi="Times New Roman" w:cs="Times New Roman"/>
                <w:sz w:val="24"/>
                <w:szCs w:val="24"/>
              </w:rPr>
            </w:pPr>
            <w:r w:rsidRPr="00BD13FE">
              <w:rPr>
                <w:rFonts w:ascii="Times New Roman" w:hAnsi="Times New Roman" w:cs="Times New Roman"/>
                <w:sz w:val="24"/>
                <w:szCs w:val="24"/>
                <w:lang w:eastAsia="ro-RO"/>
              </w:rPr>
              <w:t xml:space="preserve">Tot ca o consecință a implementării IFRS 9, se propune și completarea regulilor generale de determinare a rezultatului fiscal cu </w:t>
            </w:r>
            <w:r w:rsidRPr="00BD13FE">
              <w:rPr>
                <w:rFonts w:ascii="Times New Roman" w:hAnsi="Times New Roman" w:cs="Times New Roman"/>
                <w:sz w:val="24"/>
                <w:szCs w:val="24"/>
                <w:lang w:eastAsia="ro-RO"/>
              </w:rPr>
              <w:lastRenderedPageBreak/>
              <w:t xml:space="preserve">prevederi prin care, </w:t>
            </w:r>
            <w:r w:rsidRPr="00BD13FE">
              <w:rPr>
                <w:rFonts w:ascii="Times New Roman" w:eastAsia="Calibri" w:hAnsi="Times New Roman" w:cs="Times New Roman"/>
                <w:sz w:val="24"/>
                <w:szCs w:val="24"/>
              </w:rPr>
              <w:t>urmare aplicării opțiunii irevocabile de a recunoaște astfel titlurile de participare la valoare justă prin alte elemente ale rezultatului global, contribuabilii tratează sumele reprezentând diferențe din evaluare/reevaluare care se regăsesc în debitul/creditul conturilor de rezerve, ca elemente similare cheltuielilor/veniturilor, după caz, dacă la data vânzării/cesionării nu sunt îndeplinite condițiile prevăzute la art. 23 lit. i).</w:t>
            </w:r>
          </w:p>
          <w:p w:rsidR="00520CA8" w:rsidRPr="00BD13FE" w:rsidRDefault="00520CA8" w:rsidP="00520CA8">
            <w:pPr>
              <w:autoSpaceDE w:val="0"/>
              <w:ind w:right="67" w:firstLine="220"/>
              <w:jc w:val="both"/>
              <w:rPr>
                <w:rFonts w:ascii="Times New Roman" w:eastAsia="Calibri" w:hAnsi="Times New Roman" w:cs="Times New Roman"/>
                <w:sz w:val="24"/>
                <w:szCs w:val="24"/>
              </w:rPr>
            </w:pPr>
          </w:p>
          <w:p w:rsidR="00520CA8" w:rsidRPr="00BD13FE" w:rsidRDefault="00520CA8" w:rsidP="00520CA8">
            <w:pPr>
              <w:autoSpaceDE w:val="0"/>
              <w:ind w:right="67" w:firstLine="220"/>
              <w:jc w:val="both"/>
              <w:rPr>
                <w:rFonts w:ascii="Times New Roman" w:eastAsia="Calibri" w:hAnsi="Times New Roman" w:cs="Times New Roman"/>
                <w:sz w:val="24"/>
                <w:szCs w:val="24"/>
              </w:rPr>
            </w:pPr>
          </w:p>
          <w:p w:rsidR="00520CA8" w:rsidRPr="00BD13FE" w:rsidRDefault="00520CA8" w:rsidP="00520CA8">
            <w:pPr>
              <w:autoSpaceDE w:val="0"/>
              <w:ind w:right="67" w:firstLine="220"/>
              <w:jc w:val="both"/>
              <w:rPr>
                <w:rFonts w:ascii="Times New Roman" w:eastAsia="Calibri" w:hAnsi="Times New Roman" w:cs="Times New Roman"/>
                <w:b/>
                <w:sz w:val="24"/>
                <w:szCs w:val="24"/>
              </w:rPr>
            </w:pPr>
            <w:r w:rsidRPr="00BD13FE">
              <w:rPr>
                <w:rFonts w:ascii="Times New Roman" w:eastAsia="Calibri" w:hAnsi="Times New Roman" w:cs="Times New Roman"/>
                <w:b/>
                <w:sz w:val="24"/>
                <w:szCs w:val="24"/>
              </w:rPr>
              <w:t>Titlul IV - Impozitul pe venit</w:t>
            </w:r>
          </w:p>
          <w:p w:rsidR="00520CA8" w:rsidRPr="00BD13FE" w:rsidRDefault="00520CA8" w:rsidP="00520CA8">
            <w:pPr>
              <w:ind w:left="59" w:right="86"/>
              <w:jc w:val="both"/>
              <w:rPr>
                <w:rFonts w:ascii="Times New Roman" w:hAnsi="Times New Roman" w:cs="Times New Roman"/>
                <w:bCs/>
                <w:sz w:val="24"/>
                <w:szCs w:val="24"/>
              </w:rPr>
            </w:pPr>
            <w:r w:rsidRPr="00BD13FE">
              <w:rPr>
                <w:rFonts w:ascii="Times New Roman" w:hAnsi="Times New Roman" w:cs="Times New Roman"/>
                <w:bCs/>
                <w:sz w:val="24"/>
                <w:szCs w:val="24"/>
              </w:rPr>
              <w:t xml:space="preserve">Pentru bonificațiile care se acordă în anul 2018 </w:t>
            </w:r>
            <w:r w:rsidR="0001559C" w:rsidRPr="00BD13FE">
              <w:rPr>
                <w:rFonts w:ascii="Times New Roman" w:hAnsi="Times New Roman" w:cs="Times New Roman"/>
                <w:bCs/>
                <w:sz w:val="24"/>
                <w:szCs w:val="24"/>
              </w:rPr>
              <w:t xml:space="preserve">se propun </w:t>
            </w:r>
            <w:r w:rsidRPr="00BD13FE">
              <w:rPr>
                <w:rFonts w:ascii="Times New Roman" w:hAnsi="Times New Roman" w:cs="Times New Roman"/>
                <w:bCs/>
                <w:sz w:val="24"/>
                <w:szCs w:val="24"/>
              </w:rPr>
              <w:t>clarificări privind contribuabilii care beneficiază de bonificație. Astfel, pentru eliminarea situațiilor în care contribuabilii care realizează venituri impuse pe baza normelor anuale de venit sau pe baza câștigului net anual,  să nu beneficieze de bonificație la plata impozitului pe venit și a contribuțiilor sociale, se completează textul astfel încât și aceste categorii de persoane  sa fie vizate de prevederea respectivă, după cum urmează:</w:t>
            </w:r>
          </w:p>
          <w:p w:rsidR="00520CA8" w:rsidRPr="00BD13FE" w:rsidRDefault="00520CA8" w:rsidP="00520CA8">
            <w:pPr>
              <w:ind w:left="201" w:right="86"/>
              <w:jc w:val="both"/>
              <w:rPr>
                <w:rFonts w:ascii="Times New Roman" w:hAnsi="Times New Roman" w:cs="Times New Roman"/>
                <w:bCs/>
                <w:sz w:val="24"/>
                <w:szCs w:val="24"/>
              </w:rPr>
            </w:pPr>
            <w:r w:rsidRPr="00BD13FE">
              <w:rPr>
                <w:rFonts w:ascii="Times New Roman" w:hAnsi="Times New Roman" w:cs="Times New Roman"/>
                <w:bCs/>
                <w:sz w:val="24"/>
                <w:szCs w:val="24"/>
              </w:rPr>
              <w:t xml:space="preserve">    a) pentru depunerea declaraţiei unice privind impozitul pe venit şi contribuţiile sociale datorate de persoanele fizice prin mijloace electronice de transmitere la distanţă până la 15 iulie 2018 inclusiv, se acordă o bonificaţie de 5% din impozitul pe venit plătit integral până la 15 martie 2019 inclusiv, reprezentând obligaţiile fiscale anuale pentru anul 2018. Valoarea bonificaţiei diminuează impozitul pe venitul/câștigul net anual și/sau impozitul pe venitul anual, de plată;</w:t>
            </w:r>
          </w:p>
          <w:p w:rsidR="00520CA8" w:rsidRPr="00BD13FE" w:rsidRDefault="00520CA8" w:rsidP="00520CA8">
            <w:pPr>
              <w:ind w:left="201" w:right="86"/>
              <w:jc w:val="both"/>
              <w:rPr>
                <w:rFonts w:ascii="Times New Roman" w:hAnsi="Times New Roman" w:cs="Times New Roman"/>
                <w:bCs/>
                <w:sz w:val="24"/>
                <w:szCs w:val="24"/>
              </w:rPr>
            </w:pPr>
            <w:r w:rsidRPr="00BD13FE">
              <w:rPr>
                <w:rFonts w:ascii="Times New Roman" w:hAnsi="Times New Roman" w:cs="Times New Roman"/>
                <w:bCs/>
                <w:sz w:val="24"/>
                <w:szCs w:val="24"/>
              </w:rPr>
              <w:t xml:space="preserve">    b) pentru plata cu anticipaţie a impozitului pe venit se acordă o bonificaţie de 5% din impozitul pe venit anual estimat declarat prin Declaratia unică şi plătit integral până la 15 decembrie 2018 inclusiv. Valoarea bonificaţiei diminuează impozitul pe venitul net anual estimat și/sau impozitul pe venitul anual estimat, de plată.</w:t>
            </w:r>
          </w:p>
          <w:p w:rsidR="00520CA8" w:rsidRPr="00BD13FE" w:rsidRDefault="00520CA8" w:rsidP="00520CA8">
            <w:pPr>
              <w:ind w:left="201" w:right="228"/>
              <w:jc w:val="both"/>
              <w:rPr>
                <w:rFonts w:ascii="Times New Roman" w:hAnsi="Times New Roman" w:cs="Times New Roman"/>
                <w:bCs/>
                <w:sz w:val="24"/>
                <w:szCs w:val="24"/>
              </w:rPr>
            </w:pPr>
          </w:p>
          <w:p w:rsidR="003C489F" w:rsidRPr="00BD13FE" w:rsidRDefault="003C489F" w:rsidP="003C489F">
            <w:pPr>
              <w:ind w:firstLine="432"/>
              <w:contextualSpacing/>
              <w:jc w:val="both"/>
              <w:rPr>
                <w:rFonts w:ascii="Times New Roman" w:hAnsi="Times New Roman" w:cs="Times New Roman"/>
                <w:b/>
                <w:sz w:val="24"/>
                <w:szCs w:val="24"/>
              </w:rPr>
            </w:pPr>
            <w:r w:rsidRPr="00BD13FE">
              <w:rPr>
                <w:rFonts w:ascii="Times New Roman" w:hAnsi="Times New Roman" w:cs="Times New Roman"/>
                <w:b/>
                <w:sz w:val="24"/>
                <w:szCs w:val="24"/>
              </w:rPr>
              <w:t>Titlul VII – Taxa pe valoarea adăugată</w:t>
            </w:r>
          </w:p>
          <w:p w:rsidR="003C489F" w:rsidRPr="00BD13FE" w:rsidRDefault="003C489F" w:rsidP="003C489F">
            <w:pPr>
              <w:ind w:firstLine="432"/>
              <w:contextualSpacing/>
              <w:jc w:val="both"/>
              <w:rPr>
                <w:rFonts w:ascii="Times New Roman" w:hAnsi="Times New Roman" w:cs="Times New Roman"/>
                <w:sz w:val="24"/>
                <w:szCs w:val="24"/>
              </w:rPr>
            </w:pPr>
            <w:r w:rsidRPr="00BD13FE">
              <w:rPr>
                <w:rFonts w:ascii="Times New Roman" w:hAnsi="Times New Roman" w:cs="Times New Roman"/>
                <w:sz w:val="24"/>
                <w:szCs w:val="24"/>
              </w:rPr>
              <w:t>Se propune extinderea aplicării cotei reduse de TVA de 5% pentru următoarele categorii:</w:t>
            </w:r>
          </w:p>
          <w:p w:rsidR="003C489F" w:rsidRPr="00BD13FE" w:rsidRDefault="003C489F" w:rsidP="003C489F">
            <w:pPr>
              <w:ind w:left="57" w:right="57" w:firstLine="431"/>
              <w:contextualSpacing/>
              <w:jc w:val="both"/>
              <w:rPr>
                <w:rFonts w:ascii="Times New Roman" w:hAnsi="Times New Roman" w:cs="Times New Roman"/>
                <w:sz w:val="24"/>
                <w:szCs w:val="24"/>
              </w:rPr>
            </w:pPr>
            <w:r w:rsidRPr="00BD13FE">
              <w:rPr>
                <w:rFonts w:ascii="Times New Roman" w:hAnsi="Times New Roman" w:cs="Times New Roman"/>
                <w:sz w:val="24"/>
                <w:szCs w:val="24"/>
              </w:rPr>
              <w:t>- cazarea în cadrul sectorului hotelier sau al sectoarelor cu funcţie similară, inclusiv închirierea terenurilor amenajate pentru camping;</w:t>
            </w:r>
          </w:p>
          <w:p w:rsidR="003C489F" w:rsidRPr="00BD13FE" w:rsidRDefault="003C489F" w:rsidP="003C489F">
            <w:pPr>
              <w:ind w:firstLine="432"/>
              <w:contextualSpacing/>
              <w:jc w:val="both"/>
              <w:rPr>
                <w:rFonts w:ascii="Times New Roman" w:hAnsi="Times New Roman" w:cs="Times New Roman"/>
                <w:sz w:val="24"/>
                <w:szCs w:val="24"/>
              </w:rPr>
            </w:pPr>
            <w:r w:rsidRPr="00BD13FE">
              <w:rPr>
                <w:rFonts w:ascii="Times New Roman" w:hAnsi="Times New Roman" w:cs="Times New Roman"/>
                <w:sz w:val="24"/>
                <w:szCs w:val="24"/>
              </w:rPr>
              <w:t>- serviciile de restaurant şi de catering, cu excepţia băuturilor alcoolice, altele decât berea care se încadrează la codul NC 22 03 00 10;</w:t>
            </w:r>
          </w:p>
          <w:p w:rsidR="003C489F" w:rsidRPr="00BD13FE" w:rsidRDefault="003C489F" w:rsidP="003C489F">
            <w:pPr>
              <w:ind w:firstLine="432"/>
              <w:contextualSpacing/>
              <w:jc w:val="both"/>
              <w:rPr>
                <w:rFonts w:ascii="Times New Roman" w:hAnsi="Times New Roman" w:cs="Times New Roman"/>
                <w:sz w:val="24"/>
                <w:szCs w:val="24"/>
              </w:rPr>
            </w:pPr>
            <w:r w:rsidRPr="00BD13FE">
              <w:rPr>
                <w:rFonts w:ascii="Times New Roman" w:hAnsi="Times New Roman" w:cs="Times New Roman"/>
                <w:sz w:val="24"/>
                <w:szCs w:val="24"/>
              </w:rPr>
              <w:t>- dreptul de utilizare a facilităților sportive  ale căror activități sunt încadrate la codurile CAEN 9311 și 9313, potrivit Clasificării activităţilor din economia naţională - CAEN, actualizată prin Ordinul preşedintelui Institutului Naţional de Statistică nr. 337/2007, în scopul practicării sportului și educației fizice, altele decât cele scutite conform art. 292 alin. (1) lit. l);</w:t>
            </w:r>
          </w:p>
          <w:p w:rsidR="003C489F" w:rsidRPr="00BD13FE" w:rsidRDefault="003C489F" w:rsidP="003C489F">
            <w:pPr>
              <w:ind w:firstLine="432"/>
              <w:contextualSpacing/>
              <w:jc w:val="both"/>
              <w:rPr>
                <w:rFonts w:ascii="Times New Roman" w:hAnsi="Times New Roman" w:cs="Times New Roman"/>
                <w:sz w:val="24"/>
                <w:szCs w:val="24"/>
              </w:rPr>
            </w:pPr>
            <w:r w:rsidRPr="00BD13FE">
              <w:rPr>
                <w:rFonts w:ascii="Times New Roman" w:hAnsi="Times New Roman" w:cs="Times New Roman"/>
                <w:sz w:val="24"/>
                <w:szCs w:val="24"/>
              </w:rPr>
              <w:t xml:space="preserve">- serviciile constând în permiterea accesului la bâlciuri, parcuri de distracții și parcuri recreative ale căror activități sunt încadrate la codurile CAEN 9321 și 9329, potrivit Clasificării activităţilor din </w:t>
            </w:r>
            <w:r w:rsidRPr="00BD13FE">
              <w:rPr>
                <w:rFonts w:ascii="Times New Roman" w:hAnsi="Times New Roman" w:cs="Times New Roman"/>
                <w:sz w:val="24"/>
                <w:szCs w:val="24"/>
              </w:rPr>
              <w:lastRenderedPageBreak/>
              <w:t>economia naţională - CAEN, actualizată prin Ordinul preşedintelui Institutului Naţional de Statistică nr. 337/2007.</w:t>
            </w:r>
          </w:p>
          <w:p w:rsidR="00C2604A" w:rsidRPr="00BD13FE" w:rsidRDefault="003C489F" w:rsidP="003C489F">
            <w:pPr>
              <w:ind w:firstLine="499"/>
              <w:contextualSpacing/>
              <w:jc w:val="both"/>
              <w:rPr>
                <w:rFonts w:ascii="Times New Roman" w:hAnsi="Times New Roman" w:cs="Times New Roman"/>
                <w:bCs/>
                <w:sz w:val="24"/>
                <w:szCs w:val="24"/>
              </w:rPr>
            </w:pPr>
            <w:r w:rsidRPr="00BD13FE">
              <w:rPr>
                <w:rFonts w:ascii="Times New Roman" w:hAnsi="Times New Roman" w:cs="Times New Roman"/>
                <w:sz w:val="24"/>
                <w:szCs w:val="24"/>
              </w:rPr>
              <w:t>Măsura are în vedere stimularea turismului în România,</w:t>
            </w:r>
            <w:r w:rsidRPr="00BD13FE">
              <w:rPr>
                <w:rFonts w:ascii="Times New Roman" w:hAnsi="Times New Roman" w:cs="Times New Roman"/>
                <w:bCs/>
                <w:sz w:val="24"/>
                <w:szCs w:val="24"/>
              </w:rPr>
              <w:t xml:space="preserve"> reducerea evaziunii fiscale, creșterea consumului intern și stimularea creșterii economice.</w:t>
            </w:r>
          </w:p>
          <w:p w:rsidR="00C52ED5" w:rsidRPr="00BD13FE" w:rsidRDefault="00C52ED5" w:rsidP="003C489F">
            <w:pPr>
              <w:ind w:firstLine="499"/>
              <w:contextualSpacing/>
              <w:jc w:val="both"/>
              <w:rPr>
                <w:rFonts w:ascii="Times New Roman" w:hAnsi="Times New Roman" w:cs="Times New Roman"/>
                <w:bCs/>
                <w:sz w:val="24"/>
                <w:szCs w:val="24"/>
              </w:rPr>
            </w:pPr>
          </w:p>
          <w:p w:rsidR="00C52ED5" w:rsidRPr="00BD13FE" w:rsidRDefault="0069016A" w:rsidP="00C52ED5">
            <w:pPr>
              <w:ind w:firstLine="499"/>
              <w:contextualSpacing/>
              <w:jc w:val="both"/>
              <w:rPr>
                <w:rFonts w:ascii="Times New Roman" w:hAnsi="Times New Roman" w:cs="Times New Roman"/>
                <w:b/>
                <w:sz w:val="24"/>
                <w:szCs w:val="24"/>
              </w:rPr>
            </w:pPr>
            <w:r w:rsidRPr="00BD13FE">
              <w:rPr>
                <w:rFonts w:ascii="Times New Roman" w:hAnsi="Times New Roman" w:cs="Times New Roman"/>
                <w:b/>
                <w:sz w:val="24"/>
                <w:szCs w:val="24"/>
              </w:rPr>
              <w:t xml:space="preserve">3. </w:t>
            </w:r>
            <w:r w:rsidR="00C52ED5" w:rsidRPr="00BD13FE">
              <w:rPr>
                <w:rFonts w:ascii="Times New Roman" w:hAnsi="Times New Roman" w:cs="Times New Roman"/>
                <w:b/>
                <w:sz w:val="24"/>
                <w:szCs w:val="24"/>
              </w:rPr>
              <w:t>Dispoziții referitoare la termene de plată și decizii de impunere ce privesc impozitul pe venit și contribuțiile sociale datorate de persoanele fizice</w:t>
            </w:r>
          </w:p>
          <w:p w:rsidR="00C52ED5" w:rsidRDefault="00C52ED5" w:rsidP="00C52ED5">
            <w:pPr>
              <w:ind w:left="59" w:right="86"/>
              <w:jc w:val="both"/>
              <w:rPr>
                <w:rFonts w:ascii="Times New Roman" w:hAnsi="Times New Roman" w:cs="Times New Roman"/>
                <w:sz w:val="24"/>
                <w:szCs w:val="24"/>
                <w:lang w:val="it-IT"/>
              </w:rPr>
            </w:pPr>
            <w:r w:rsidRPr="00BD13FE">
              <w:rPr>
                <w:rFonts w:ascii="Times New Roman" w:hAnsi="Times New Roman" w:cs="Times New Roman"/>
                <w:b/>
                <w:sz w:val="24"/>
                <w:szCs w:val="24"/>
                <w:lang w:val="it-IT"/>
              </w:rPr>
              <w:t>1.</w:t>
            </w:r>
            <w:r w:rsidRPr="00BD13FE">
              <w:rPr>
                <w:rFonts w:ascii="Times New Roman" w:hAnsi="Times New Roman" w:cs="Times New Roman"/>
                <w:sz w:val="24"/>
                <w:szCs w:val="24"/>
                <w:lang w:val="it-IT"/>
              </w:rPr>
              <w:t xml:space="preserve"> Se introduc unele dispoziții tranzitorii referitoare la deciziile de impunere privind contribuția de asigurări sociale de sănătate datorată de persoanele fizice fără venituri care au  optat pentru plata contribuției, înainte de intrarea în vigoare a măsurilor implementate prin Ordonanţa de urgenţă  nr. 18/2018 privind adoptarea unor măsuri fiscal-bugetare şi pentru modificarea şi completarea unor acte normative, pentru situațiile în care aceste persoane optează să beneficieze de noile prevederi fiscale, mai avantajoase sau în cazul în care acestea se încaderază într-o altă categorie de persoane.</w:t>
            </w:r>
          </w:p>
          <w:p w:rsidR="009351ED" w:rsidRPr="009351ED" w:rsidRDefault="009351ED" w:rsidP="009351ED">
            <w:pPr>
              <w:ind w:left="59" w:right="8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Astfel, se introduc </w:t>
            </w:r>
            <w:r w:rsidRPr="009351ED">
              <w:rPr>
                <w:rFonts w:ascii="Times New Roman" w:hAnsi="Times New Roman" w:cs="Times New Roman"/>
                <w:sz w:val="24"/>
                <w:szCs w:val="24"/>
                <w:lang w:val="it-IT"/>
              </w:rPr>
              <w:t xml:space="preserve">dispoziții </w:t>
            </w:r>
            <w:r>
              <w:rPr>
                <w:rFonts w:ascii="Times New Roman" w:hAnsi="Times New Roman" w:cs="Times New Roman"/>
                <w:sz w:val="24"/>
                <w:szCs w:val="24"/>
                <w:lang w:val="it-IT"/>
              </w:rPr>
              <w:t xml:space="preserve">prin </w:t>
            </w:r>
            <w:r w:rsidRPr="009351ED">
              <w:rPr>
                <w:rFonts w:ascii="Times New Roman" w:hAnsi="Times New Roman" w:cs="Times New Roman"/>
                <w:sz w:val="24"/>
                <w:szCs w:val="24"/>
                <w:lang w:val="it-IT"/>
              </w:rPr>
              <w:t xml:space="preserve">care </w:t>
            </w:r>
            <w:r>
              <w:rPr>
                <w:rFonts w:ascii="Times New Roman" w:hAnsi="Times New Roman" w:cs="Times New Roman"/>
                <w:sz w:val="24"/>
                <w:szCs w:val="24"/>
                <w:lang w:val="it-IT"/>
              </w:rPr>
              <w:t>se reglementează</w:t>
            </w:r>
            <w:r w:rsidRPr="009351ED">
              <w:rPr>
                <w:rFonts w:ascii="Times New Roman" w:hAnsi="Times New Roman" w:cs="Times New Roman"/>
                <w:sz w:val="24"/>
                <w:szCs w:val="24"/>
                <w:lang w:val="it-IT"/>
              </w:rPr>
              <w:t xml:space="preserve"> posibilitatea anulării obligațiilor de plată privind contribuția de asigurări sociale de sănătate stabilite prin “Decizia de impunere privind contribuția de asigurări sociale de sănătate datorată de persoanele fizice potrivit art. 180 alin. (1) lit. a) din Codul fiscal”, aferente perioadei începând cu luna depunerii declarației unice privind impozitul pe venit și contribuțiile sociale datorate de persoanele fizice, sau începând cu luna depunerii notificării, inclusiv.</w:t>
            </w:r>
          </w:p>
          <w:p w:rsidR="009351ED" w:rsidRPr="00BD13FE" w:rsidRDefault="009351ED" w:rsidP="00C52ED5">
            <w:pPr>
              <w:ind w:left="59" w:right="86"/>
              <w:jc w:val="both"/>
              <w:rPr>
                <w:rFonts w:ascii="Times New Roman" w:hAnsi="Times New Roman" w:cs="Times New Roman"/>
                <w:sz w:val="24"/>
                <w:szCs w:val="24"/>
                <w:lang w:val="it-IT"/>
              </w:rPr>
            </w:pPr>
            <w:r w:rsidRPr="009351ED">
              <w:rPr>
                <w:rFonts w:ascii="Times New Roman" w:hAnsi="Times New Roman" w:cs="Times New Roman"/>
                <w:sz w:val="24"/>
                <w:szCs w:val="24"/>
                <w:lang w:val="it-IT"/>
              </w:rPr>
              <w:t xml:space="preserve">De asemenea, în situația în care persoanele fizice pentru care organul fiscal a emis de “Decizia de impunere privind contribuția de asigurări sociale de sănătate datorată de persoanele fizice potrivit art. 180 alin. (1) lit. a) din Codul fiscal” conform prevederilor fiscale aplicabile înainte de intrarea în vigoare a Ordonanței de urgență nr. 18/2018 privind adoptarea unor măsuri fiscal-bugetare şi pentru modificarea şi completarea unor acte normative, iar aceste persoane  nu își exprimă opțiunea de plată a contribuției prin depunerea declarației unice privind impozitul pe venit și contribuțiile sociale datorate de persoanele fizice, până la termenul de depunere a acesteia, prevăzut de lege pentru anul fiscal 2019, respectiv 15 martie 2019, </w:t>
            </w:r>
            <w:r>
              <w:rPr>
                <w:rFonts w:ascii="Times New Roman" w:hAnsi="Times New Roman" w:cs="Times New Roman"/>
                <w:sz w:val="24"/>
                <w:szCs w:val="24"/>
                <w:lang w:val="it-IT"/>
              </w:rPr>
              <w:t>se introduc</w:t>
            </w:r>
            <w:r w:rsidRPr="009351ED">
              <w:rPr>
                <w:rFonts w:ascii="Times New Roman" w:hAnsi="Times New Roman" w:cs="Times New Roman"/>
                <w:sz w:val="24"/>
                <w:szCs w:val="24"/>
                <w:lang w:val="it-IT"/>
              </w:rPr>
              <w:t xml:space="preserve"> clarificări în ceea ce privește data până la care își produce efectele decizia de impunere.</w:t>
            </w:r>
            <w:r>
              <w:rPr>
                <w:rFonts w:ascii="Times New Roman" w:hAnsi="Times New Roman" w:cs="Times New Roman"/>
                <w:sz w:val="24"/>
                <w:szCs w:val="24"/>
                <w:lang w:val="it-IT"/>
              </w:rPr>
              <w:t xml:space="preserve"> În acesată situație, </w:t>
            </w:r>
            <w:r w:rsidRPr="009351ED">
              <w:rPr>
                <w:rFonts w:ascii="Times New Roman" w:hAnsi="Times New Roman" w:cs="Times New Roman"/>
                <w:sz w:val="24"/>
                <w:szCs w:val="24"/>
                <w:lang w:val="it-IT"/>
              </w:rPr>
              <w:t>“Decizia de impunere privind contribuția de asigurări sociale de sănătate datorată de persoanele fizice potrivit art. 180 alin. (1) lit. a) din Codul fiscal”</w:t>
            </w:r>
            <w:r>
              <w:t xml:space="preserve"> </w:t>
            </w:r>
            <w:r w:rsidRPr="009351ED">
              <w:rPr>
                <w:rFonts w:ascii="Times New Roman" w:hAnsi="Times New Roman" w:cs="Times New Roman"/>
                <w:sz w:val="24"/>
                <w:szCs w:val="24"/>
                <w:lang w:val="it-IT"/>
              </w:rPr>
              <w:t>își produce efectele</w:t>
            </w:r>
            <w:r>
              <w:rPr>
                <w:rFonts w:ascii="Times New Roman" w:hAnsi="Times New Roman" w:cs="Times New Roman"/>
                <w:sz w:val="24"/>
                <w:szCs w:val="24"/>
                <w:lang w:val="it-IT"/>
              </w:rPr>
              <w:t xml:space="preserve"> până la data de </w:t>
            </w:r>
            <w:r w:rsidRPr="009351ED">
              <w:rPr>
                <w:rFonts w:ascii="Times New Roman" w:hAnsi="Times New Roman" w:cs="Times New Roman"/>
                <w:sz w:val="24"/>
                <w:szCs w:val="24"/>
                <w:lang w:val="it-IT"/>
              </w:rPr>
              <w:t>15 martie 2019</w:t>
            </w:r>
            <w:r>
              <w:rPr>
                <w:rFonts w:ascii="Times New Roman" w:hAnsi="Times New Roman" w:cs="Times New Roman"/>
                <w:sz w:val="24"/>
                <w:szCs w:val="24"/>
                <w:lang w:val="it-IT"/>
              </w:rPr>
              <w:t>.</w:t>
            </w:r>
          </w:p>
          <w:p w:rsidR="00C52ED5" w:rsidRPr="00BD13FE" w:rsidRDefault="00C52ED5" w:rsidP="00C52ED5">
            <w:pPr>
              <w:ind w:left="59" w:right="86"/>
              <w:jc w:val="both"/>
              <w:rPr>
                <w:rFonts w:ascii="Times New Roman" w:hAnsi="Times New Roman" w:cs="Times New Roman"/>
                <w:bCs/>
                <w:sz w:val="24"/>
                <w:szCs w:val="24"/>
              </w:rPr>
            </w:pPr>
            <w:r w:rsidRPr="00BD13FE">
              <w:rPr>
                <w:rFonts w:ascii="Times New Roman" w:eastAsia="Calibri" w:hAnsi="Times New Roman" w:cs="Times New Roman"/>
                <w:b/>
                <w:bCs/>
                <w:sz w:val="24"/>
                <w:szCs w:val="24"/>
              </w:rPr>
              <w:t xml:space="preserve">2. </w:t>
            </w:r>
            <w:r w:rsidRPr="00BD13FE">
              <w:rPr>
                <w:rFonts w:ascii="Times New Roman" w:eastAsia="Calibri" w:hAnsi="Times New Roman" w:cs="Times New Roman"/>
                <w:bCs/>
                <w:sz w:val="24"/>
                <w:szCs w:val="24"/>
              </w:rPr>
              <w:t>Se instituie noi termene de plată pentru impozitul pe venit, contribuția de asigurări sociale și contribuția de asigurări sociale de sănătate, pentru diferenţele de impozit și contribuții rămase de achitat, stabilite prin decizii de impunere anuală pentru perioada 2014-2017, și, totodată se încurajează plata cu anticipație a sumelor datorate pentru aceste perioade, prin introducerea unor bonificații la plată.</w:t>
            </w:r>
          </w:p>
          <w:p w:rsidR="00C52ED5" w:rsidRPr="00BD13FE" w:rsidRDefault="00C52ED5" w:rsidP="00C52ED5">
            <w:pPr>
              <w:ind w:left="59" w:right="86"/>
              <w:jc w:val="both"/>
              <w:rPr>
                <w:rFonts w:ascii="Times New Roman" w:hAnsi="Times New Roman" w:cs="Times New Roman"/>
                <w:bCs/>
                <w:sz w:val="24"/>
                <w:szCs w:val="24"/>
              </w:rPr>
            </w:pPr>
            <w:r w:rsidRPr="00BD13FE">
              <w:rPr>
                <w:rFonts w:ascii="Times New Roman" w:hAnsi="Times New Roman" w:cs="Times New Roman"/>
                <w:bCs/>
                <w:sz w:val="24"/>
                <w:szCs w:val="24"/>
              </w:rPr>
              <w:lastRenderedPageBreak/>
              <w:t xml:space="preserve">    </w:t>
            </w:r>
            <w:r w:rsidRPr="00BD13FE">
              <w:rPr>
                <w:rFonts w:ascii="Times New Roman" w:eastAsia="Calibri" w:hAnsi="Times New Roman" w:cs="Times New Roman"/>
                <w:bCs/>
                <w:sz w:val="24"/>
                <w:szCs w:val="24"/>
              </w:rPr>
              <w:t>În cazul deciziilor de impunere anuală, emise de organul fiscal competent, pentru definitivarea impozitului anual pe veniturile realizate de persoanele fizice în anul 2017 și pentru definitivarea contribuției de asigurări sociale datorată de persoanele fizice, pentru perioada 2016-2017, termenul de plată pentru sumele stabilite de achitat,  prin aceste decizii, este 15 martie 2019.</w:t>
            </w:r>
          </w:p>
          <w:p w:rsidR="00C52ED5" w:rsidRPr="00BD13FE" w:rsidRDefault="00C52ED5" w:rsidP="00C52ED5">
            <w:pPr>
              <w:ind w:left="59" w:right="86"/>
              <w:jc w:val="both"/>
              <w:rPr>
                <w:rFonts w:ascii="Times New Roman" w:eastAsia="Calibri" w:hAnsi="Times New Roman" w:cs="Times New Roman"/>
                <w:bCs/>
                <w:sz w:val="24"/>
                <w:szCs w:val="24"/>
              </w:rPr>
            </w:pPr>
            <w:r w:rsidRPr="00BD13FE">
              <w:rPr>
                <w:rFonts w:ascii="Times New Roman" w:hAnsi="Times New Roman" w:cs="Times New Roman"/>
                <w:bCs/>
                <w:sz w:val="24"/>
                <w:szCs w:val="24"/>
              </w:rPr>
              <w:t xml:space="preserve"> </w:t>
            </w:r>
            <w:r w:rsidRPr="00BD13FE">
              <w:rPr>
                <w:rFonts w:ascii="Times New Roman" w:eastAsia="Calibri" w:hAnsi="Times New Roman" w:cs="Times New Roman"/>
                <w:bCs/>
                <w:sz w:val="24"/>
                <w:szCs w:val="24"/>
              </w:rPr>
              <w:t>Pentru plata cu anticipaţie a sumelor stabilite prin deciziile de impunere anuală, ce au în vedere definitivarea impozitului anual pe veniturile realizate de persoanele fizice în anul 2017 și definitivarea contribuției de asigurări socialedatorată de persoanele fizice, pentru perioada 2016-2017, se acordă o bonificaţie de 10% din aceste sume, dacă sunt plătite integral până la 15 decembrie 2018, inclusiv.  Valoarea bonificaţiei diminuează sumele de plată stabilite prin decizie.</w:t>
            </w:r>
          </w:p>
          <w:p w:rsidR="00C52ED5" w:rsidRPr="00BD13FE" w:rsidRDefault="00C52ED5" w:rsidP="00C52ED5">
            <w:pPr>
              <w:ind w:left="59" w:right="86"/>
              <w:jc w:val="both"/>
              <w:rPr>
                <w:rFonts w:ascii="Times New Roman" w:eastAsia="Calibri" w:hAnsi="Times New Roman" w:cs="Times New Roman"/>
                <w:bCs/>
                <w:sz w:val="24"/>
                <w:szCs w:val="24"/>
              </w:rPr>
            </w:pPr>
            <w:r w:rsidRPr="00BD13FE">
              <w:rPr>
                <w:rFonts w:ascii="Times New Roman" w:eastAsia="Calibri" w:hAnsi="Times New Roman" w:cs="Times New Roman"/>
                <w:bCs/>
                <w:sz w:val="24"/>
                <w:szCs w:val="24"/>
              </w:rPr>
              <w:t>În cazul deciziilor de impunere anuală, emise de organul fiscal competent, pentru definitivarea contribuției de asigurări sociale de sănătate datorată de persoanele fizice, pentru perioada 2014-2017, termenul de plată pentru sumele stabilite de achitat,  prin aceste decizii, este 30 iunie 2019. Pentru plata cu anticipaţie a sumelor stabilite prin decizie de impunere ce au în vedere definitivarea contribuției de asigurări sociale de sănătate datorată de persoanele fizice, pentru perioada 2014-2017, se acordă o bonificaţie de 10% din aceste sume, dacă sunt plătite integral până la 31 martie 2019, inclusiv. Valoarea bonificaţiei diminuează sumele de plată stabilite prin decizie.</w:t>
            </w:r>
          </w:p>
          <w:p w:rsidR="004E51D3" w:rsidRPr="00BD13FE" w:rsidRDefault="004E51D3" w:rsidP="00C52ED5">
            <w:pPr>
              <w:ind w:left="59" w:right="86"/>
              <w:jc w:val="both"/>
              <w:rPr>
                <w:rFonts w:ascii="Times New Roman" w:eastAsia="Calibri" w:hAnsi="Times New Roman" w:cs="Times New Roman"/>
                <w:bCs/>
                <w:sz w:val="24"/>
                <w:szCs w:val="24"/>
              </w:rPr>
            </w:pPr>
          </w:p>
          <w:p w:rsidR="00C52ED5" w:rsidRPr="00BD13FE" w:rsidRDefault="0069016A" w:rsidP="00C52ED5">
            <w:pPr>
              <w:tabs>
                <w:tab w:val="left" w:pos="644"/>
                <w:tab w:val="left" w:pos="851"/>
              </w:tabs>
              <w:ind w:left="98" w:right="70" w:firstLine="284"/>
              <w:jc w:val="both"/>
              <w:rPr>
                <w:rFonts w:ascii="Times New Roman" w:hAnsi="Times New Roman" w:cs="Times New Roman"/>
                <w:sz w:val="24"/>
                <w:szCs w:val="24"/>
              </w:rPr>
            </w:pPr>
            <w:r w:rsidRPr="00BD13FE">
              <w:rPr>
                <w:rFonts w:ascii="Times New Roman" w:hAnsi="Times New Roman" w:cs="Times New Roman"/>
                <w:b/>
                <w:sz w:val="24"/>
                <w:szCs w:val="24"/>
              </w:rPr>
              <w:t xml:space="preserve">4. </w:t>
            </w:r>
            <w:r w:rsidR="00C52ED5" w:rsidRPr="00BD13FE">
              <w:rPr>
                <w:rFonts w:ascii="Times New Roman" w:hAnsi="Times New Roman" w:cs="Times New Roman"/>
                <w:b/>
                <w:sz w:val="24"/>
                <w:szCs w:val="24"/>
              </w:rPr>
              <w:t>În ceea ce privește Ordonanța Guvernului nr. 10/2015 pentru organizarea Loteriei bonurilor fiscale</w:t>
            </w:r>
            <w:r w:rsidR="00C52ED5" w:rsidRPr="00BD13FE">
              <w:rPr>
                <w:rFonts w:ascii="Times New Roman" w:hAnsi="Times New Roman" w:cs="Times New Roman"/>
                <w:sz w:val="24"/>
                <w:szCs w:val="24"/>
              </w:rPr>
              <w:t>, aprobată cu modificări și completări prin Legea nr.166/2015:</w:t>
            </w:r>
          </w:p>
          <w:p w:rsidR="00C52ED5" w:rsidRPr="00BD13FE" w:rsidRDefault="00C52ED5" w:rsidP="00C52ED5">
            <w:pPr>
              <w:tabs>
                <w:tab w:val="left" w:pos="644"/>
              </w:tabs>
              <w:ind w:left="98" w:right="70" w:firstLine="284"/>
              <w:jc w:val="both"/>
              <w:rPr>
                <w:rFonts w:ascii="Times New Roman" w:eastAsia="Segoe UI" w:hAnsi="Times New Roman" w:cs="Times New Roman"/>
                <w:bCs/>
                <w:sz w:val="24"/>
                <w:szCs w:val="24"/>
                <w:lang w:eastAsia="ro-RO"/>
              </w:rPr>
            </w:pPr>
            <w:r w:rsidRPr="00BD13FE">
              <w:rPr>
                <w:rFonts w:ascii="Times New Roman" w:hAnsi="Times New Roman" w:cs="Times New Roman"/>
                <w:sz w:val="24"/>
                <w:szCs w:val="24"/>
              </w:rPr>
              <w:t xml:space="preserve">Este creat temeiul legal care permite ca, în cazul în care prin hotărâri definitive ale instanței de judecată se stabilește obligația de plată a unor sume, cu titlu de premiu la Loteria bonurilor fiscale, acestea să fie achitate de către Ministerul Finanțelor Publice, din bugetul Ministerului Finanțelor Publice – Acțiuni generale. </w:t>
            </w:r>
          </w:p>
          <w:p w:rsidR="00C52ED5" w:rsidRPr="00BD13FE" w:rsidRDefault="00C52ED5" w:rsidP="00C52ED5">
            <w:pPr>
              <w:tabs>
                <w:tab w:val="left" w:pos="644"/>
              </w:tabs>
              <w:autoSpaceDE w:val="0"/>
              <w:snapToGrid w:val="0"/>
              <w:ind w:left="98" w:right="70" w:firstLine="284"/>
              <w:contextualSpacing/>
              <w:jc w:val="both"/>
              <w:rPr>
                <w:rFonts w:ascii="Times New Roman" w:hAnsi="Times New Roman" w:cs="Times New Roman"/>
                <w:sz w:val="24"/>
                <w:szCs w:val="24"/>
              </w:rPr>
            </w:pPr>
            <w:r w:rsidRPr="00BD13FE">
              <w:rPr>
                <w:rFonts w:ascii="Times New Roman" w:eastAsia="Segoe UI" w:hAnsi="Times New Roman" w:cs="Times New Roman"/>
                <w:bCs/>
                <w:sz w:val="24"/>
                <w:szCs w:val="24"/>
                <w:lang w:eastAsia="ro-RO"/>
              </w:rPr>
              <w:t>Pentru situațiile în care, prin hotărârea judecătorească definitivă prin care o persoană este stabilită drept câștigătoare la o extragere a Loteriei bonurilor fiscale,  nu este individualizată și suma de plată ce i se cuvine cu titlu de premiu, se reglementează modalitatea prin care se determină această sumă.</w:t>
            </w:r>
          </w:p>
          <w:p w:rsidR="00C52ED5" w:rsidRPr="00BD13FE" w:rsidRDefault="00C52ED5" w:rsidP="00C52ED5">
            <w:pPr>
              <w:tabs>
                <w:tab w:val="left" w:pos="644"/>
              </w:tabs>
              <w:ind w:left="98" w:right="70" w:firstLine="284"/>
              <w:jc w:val="both"/>
              <w:rPr>
                <w:rFonts w:ascii="Times New Roman" w:eastAsia="Segoe UI" w:hAnsi="Times New Roman" w:cs="Times New Roman"/>
                <w:bCs/>
                <w:sz w:val="24"/>
                <w:szCs w:val="24"/>
                <w:lang w:eastAsia="ro-RO"/>
              </w:rPr>
            </w:pPr>
            <w:r w:rsidRPr="00BD13FE">
              <w:rPr>
                <w:rFonts w:ascii="Times New Roman" w:hAnsi="Times New Roman" w:cs="Times New Roman"/>
                <w:sz w:val="24"/>
                <w:szCs w:val="24"/>
              </w:rPr>
              <w:t>Se creează temeiul legal pentru aprobarea procedurii privind angajarea, lichidarea, ordonanţarea şi plata sumelor stabilite de instanța de judecată cu titlu de premiu la Loteria bonurilor fiscale.</w:t>
            </w:r>
          </w:p>
          <w:p w:rsidR="00C52ED5" w:rsidRPr="00BD13FE" w:rsidRDefault="00C52ED5" w:rsidP="00C52ED5">
            <w:pPr>
              <w:tabs>
                <w:tab w:val="left" w:pos="644"/>
              </w:tabs>
              <w:autoSpaceDE w:val="0"/>
              <w:snapToGrid w:val="0"/>
              <w:ind w:left="98" w:right="70" w:firstLine="284"/>
              <w:contextualSpacing/>
              <w:jc w:val="both"/>
              <w:rPr>
                <w:rFonts w:ascii="Times New Roman" w:eastAsia="Segoe UI" w:hAnsi="Times New Roman" w:cs="Times New Roman"/>
                <w:bCs/>
                <w:sz w:val="24"/>
                <w:szCs w:val="24"/>
                <w:lang w:eastAsia="ro-RO"/>
              </w:rPr>
            </w:pPr>
            <w:r w:rsidRPr="00BD13FE">
              <w:rPr>
                <w:rFonts w:ascii="Times New Roman" w:eastAsia="Segoe UI" w:hAnsi="Times New Roman" w:cs="Times New Roman"/>
                <w:bCs/>
                <w:sz w:val="24"/>
                <w:szCs w:val="24"/>
                <w:lang w:eastAsia="ro-RO"/>
              </w:rPr>
              <w:t xml:space="preserve">Se reglementează faptul că, premiile aferente unei extrageri, achitate câștigătorilor anterior emiterii unor hotărâri ale instanței de judecată rămase definitive, prin care se constată că o altă persoană are calitatea de câștigător la acea extragere, sunt premii definitive, întrucât o modificare retroactivă a situației rezultate la momentul finalizării perioadei de revendicare și a verificărilor efectuate de organul competent al A.N.A.F., în sensul diminuării cuantumului premiilor deja plătite și implicit al recuperării de la câștigători a diferenței plătită în plus, pe de o parte nu este imputabilă persoanelor în cauză, iar pe de altă parte, poate conduce la </w:t>
            </w:r>
            <w:r w:rsidRPr="00BD13FE">
              <w:rPr>
                <w:rFonts w:ascii="Times New Roman" w:eastAsia="Segoe UI" w:hAnsi="Times New Roman" w:cs="Times New Roman"/>
                <w:bCs/>
                <w:sz w:val="24"/>
                <w:szCs w:val="24"/>
                <w:lang w:eastAsia="ro-RO"/>
              </w:rPr>
              <w:lastRenderedPageBreak/>
              <w:t>micșorarea impactului pozitiv pe care această măsură îl produce, prin scăderea încrederii populației.</w:t>
            </w:r>
          </w:p>
          <w:p w:rsidR="00D52B86" w:rsidRPr="00BD13FE" w:rsidRDefault="00D52B86" w:rsidP="00C52ED5">
            <w:pPr>
              <w:tabs>
                <w:tab w:val="left" w:pos="644"/>
              </w:tabs>
              <w:autoSpaceDE w:val="0"/>
              <w:snapToGrid w:val="0"/>
              <w:ind w:left="98" w:right="70" w:firstLine="284"/>
              <w:contextualSpacing/>
              <w:jc w:val="both"/>
              <w:rPr>
                <w:rFonts w:ascii="Times New Roman" w:eastAsia="Segoe UI" w:hAnsi="Times New Roman" w:cs="Times New Roman"/>
                <w:bCs/>
                <w:sz w:val="24"/>
                <w:szCs w:val="24"/>
                <w:lang w:eastAsia="ro-RO"/>
              </w:rPr>
            </w:pPr>
          </w:p>
          <w:p w:rsidR="00C52ED5" w:rsidRPr="00BD13FE" w:rsidRDefault="0069016A" w:rsidP="003C489F">
            <w:pPr>
              <w:ind w:firstLine="499"/>
              <w:contextualSpacing/>
              <w:jc w:val="both"/>
              <w:rPr>
                <w:rFonts w:ascii="Times New Roman" w:hAnsi="Times New Roman" w:cs="Times New Roman"/>
                <w:b/>
                <w:bCs/>
                <w:sz w:val="24"/>
                <w:szCs w:val="24"/>
                <w:lang w:val="it-IT"/>
              </w:rPr>
            </w:pPr>
            <w:r w:rsidRPr="00BD13FE">
              <w:rPr>
                <w:rFonts w:ascii="Times New Roman" w:hAnsi="Times New Roman" w:cs="Times New Roman"/>
                <w:b/>
                <w:bCs/>
                <w:sz w:val="24"/>
                <w:szCs w:val="24"/>
                <w:lang w:val="it-IT"/>
              </w:rPr>
              <w:t xml:space="preserve">5. </w:t>
            </w:r>
            <w:r w:rsidR="00D52B86" w:rsidRPr="00BD13FE">
              <w:rPr>
                <w:rFonts w:ascii="Times New Roman" w:hAnsi="Times New Roman" w:cs="Times New Roman"/>
                <w:b/>
                <w:bCs/>
                <w:sz w:val="24"/>
                <w:szCs w:val="24"/>
                <w:lang w:val="it-IT"/>
              </w:rPr>
              <w:t>Ordonanța de Urgenta a Guvernului nr. 77/2014 privind procedurile naţionale în domeniul ajutorului de stat, precum şi pentru modificarea şi completarea Legii concurenţei nr. 21/1996</w:t>
            </w:r>
          </w:p>
          <w:p w:rsidR="00D52B86" w:rsidRPr="00BD13FE" w:rsidRDefault="00D52B86" w:rsidP="003C489F">
            <w:pPr>
              <w:ind w:firstLine="499"/>
              <w:contextualSpacing/>
              <w:jc w:val="both"/>
              <w:rPr>
                <w:rFonts w:ascii="Times New Roman" w:hAnsi="Times New Roman" w:cs="Times New Roman"/>
                <w:b/>
                <w:bCs/>
                <w:sz w:val="24"/>
                <w:szCs w:val="24"/>
                <w:lang w:val="it-IT"/>
              </w:rPr>
            </w:pPr>
          </w:p>
          <w:p w:rsidR="00C52ED5" w:rsidRPr="00BD13FE" w:rsidRDefault="00D52B86" w:rsidP="003C489F">
            <w:pPr>
              <w:ind w:firstLine="499"/>
              <w:contextualSpacing/>
              <w:jc w:val="both"/>
              <w:rPr>
                <w:rFonts w:ascii="Times New Roman" w:eastAsia="Segoe UI" w:hAnsi="Times New Roman" w:cs="Times New Roman"/>
                <w:bCs/>
                <w:sz w:val="24"/>
                <w:szCs w:val="24"/>
                <w:lang w:eastAsia="ro-RO"/>
              </w:rPr>
            </w:pPr>
            <w:r w:rsidRPr="00BD13FE">
              <w:rPr>
                <w:rFonts w:ascii="Times New Roman" w:eastAsia="Segoe UI" w:hAnsi="Times New Roman" w:cs="Times New Roman"/>
                <w:bCs/>
                <w:sz w:val="24"/>
                <w:szCs w:val="24"/>
                <w:lang w:eastAsia="ro-RO"/>
              </w:rPr>
              <w:t>Modificările legislative propus a fi aduse OUG nr. 77/2014 prin prezentul proiect de Ordonanță de urgență vizează introducerea unor prevederi prin care  Ministerul Finanțelor Publice, în de furnizor de ajutor de stat, la emiterea angajamentelor legale să poată utiliza disponibilul de credite bugetare pe întreaga perioadă de valabilitate a schemelor de ajutor de stat și nu doar pe perioada  acoperită prin legile bugetare anuale, respectiv anul curent și 3 ani ulteriori.</w:t>
            </w:r>
          </w:p>
          <w:p w:rsidR="00841BDA" w:rsidRPr="00BD13FE" w:rsidRDefault="00841BDA" w:rsidP="003C489F">
            <w:pPr>
              <w:ind w:firstLine="499"/>
              <w:contextualSpacing/>
              <w:jc w:val="both"/>
              <w:rPr>
                <w:rFonts w:ascii="Times New Roman" w:eastAsia="Segoe UI" w:hAnsi="Times New Roman" w:cs="Times New Roman"/>
                <w:bCs/>
                <w:sz w:val="24"/>
                <w:szCs w:val="24"/>
                <w:lang w:eastAsia="ro-RO"/>
              </w:rPr>
            </w:pPr>
          </w:p>
          <w:p w:rsidR="00841BDA" w:rsidRPr="00BD13FE" w:rsidRDefault="00841BDA" w:rsidP="00841BDA">
            <w:pPr>
              <w:tabs>
                <w:tab w:val="left" w:pos="644"/>
              </w:tabs>
              <w:autoSpaceDE w:val="0"/>
              <w:snapToGrid w:val="0"/>
              <w:contextualSpacing/>
              <w:jc w:val="both"/>
              <w:rPr>
                <w:rFonts w:ascii="Times New Roman" w:eastAsia="Segoe UI" w:hAnsi="Times New Roman" w:cs="Times New Roman"/>
                <w:sz w:val="24"/>
                <w:szCs w:val="24"/>
                <w:shd w:val="clear" w:color="auto" w:fill="FFFFFF"/>
                <w:lang w:val="it-IT" w:eastAsia="ro-RO"/>
              </w:rPr>
            </w:pPr>
            <w:r w:rsidRPr="00BD13FE">
              <w:rPr>
                <w:rFonts w:ascii="Times New Roman" w:eastAsia="Segoe UI" w:hAnsi="Times New Roman" w:cs="Times New Roman"/>
                <w:b/>
                <w:bCs/>
                <w:sz w:val="24"/>
                <w:szCs w:val="24"/>
                <w:shd w:val="clear" w:color="auto" w:fill="FFFFFF"/>
                <w:lang w:val="it-IT" w:eastAsia="ro-RO"/>
              </w:rPr>
              <w:t xml:space="preserve">        6. C</w:t>
            </w:r>
            <w:r w:rsidRPr="00BD13FE">
              <w:rPr>
                <w:rFonts w:ascii="Times New Roman" w:hAnsi="Times New Roman" w:cs="Arial"/>
                <w:b/>
                <w:bCs/>
                <w:sz w:val="24"/>
                <w:szCs w:val="24"/>
                <w:shd w:val="clear" w:color="auto" w:fill="FFFFFF"/>
                <w:lang w:val="it-IT"/>
              </w:rPr>
              <w:t>ompletarea art. 63 din Legea nr. 273/2006 privind finanțele publice locale.</w:t>
            </w:r>
          </w:p>
          <w:p w:rsidR="00841BDA" w:rsidRPr="00BD13FE" w:rsidRDefault="00841BDA" w:rsidP="00841BDA">
            <w:pPr>
              <w:tabs>
                <w:tab w:val="left" w:pos="644"/>
              </w:tabs>
              <w:autoSpaceDE w:val="0"/>
              <w:snapToGrid w:val="0"/>
              <w:contextualSpacing/>
              <w:jc w:val="both"/>
              <w:rPr>
                <w:rFonts w:ascii="Times New Roman" w:eastAsia="Segoe UI" w:hAnsi="Times New Roman" w:cs="Arial"/>
                <w:sz w:val="24"/>
                <w:szCs w:val="24"/>
                <w:shd w:val="clear" w:color="auto" w:fill="FFFFFF"/>
                <w:lang w:val="it-IT" w:eastAsia="ro-RO"/>
              </w:rPr>
            </w:pPr>
            <w:r w:rsidRPr="00BD13FE">
              <w:rPr>
                <w:rFonts w:ascii="Times New Roman" w:eastAsia="Segoe UI" w:hAnsi="Times New Roman" w:cs="Times New Roman"/>
                <w:sz w:val="24"/>
                <w:szCs w:val="24"/>
                <w:shd w:val="clear" w:color="auto" w:fill="FFFFFF"/>
                <w:lang w:val="it-IT" w:eastAsia="ro-RO"/>
              </w:rPr>
              <w:t xml:space="preserve">       </w:t>
            </w:r>
            <w:r w:rsidRPr="00BD13FE">
              <w:rPr>
                <w:rFonts w:ascii="Times New Roman" w:eastAsia="Segoe UI" w:hAnsi="Times New Roman" w:cs="Arial"/>
                <w:sz w:val="24"/>
                <w:szCs w:val="24"/>
                <w:shd w:val="clear" w:color="auto" w:fill="FFFFFF"/>
                <w:lang w:val="it-IT" w:eastAsia="ro-RO"/>
              </w:rPr>
              <w:t>Precizăm că și în anii anteriori au fost unităţi/subdiviziuni administrativ-teritoriale care nu au utilizat integral sumele autorizate pentru a fi trase în acei ani, însă nu au solicitat CAÎL revizuirea autorizării acestora cauzând, astfel, imposibilitatea autorizării de trageri solicitate de alte unităţi/subdiviziuni administrativ-teritoriale, generând blocarea finanțării investițiilor publice de interes local derulate de alte unități administrativ-teritoriale.</w:t>
            </w:r>
          </w:p>
          <w:p w:rsidR="00841BDA" w:rsidRPr="00BD13FE" w:rsidRDefault="00841BDA" w:rsidP="00841BDA">
            <w:pPr>
              <w:tabs>
                <w:tab w:val="left" w:pos="644"/>
              </w:tabs>
              <w:autoSpaceDE w:val="0"/>
              <w:snapToGrid w:val="0"/>
              <w:contextualSpacing/>
              <w:jc w:val="both"/>
            </w:pPr>
            <w:r w:rsidRPr="00BD13FE">
              <w:rPr>
                <w:rFonts w:ascii="Times New Roman" w:eastAsia="Segoe UI" w:hAnsi="Times New Roman" w:cs="Arial"/>
                <w:sz w:val="24"/>
                <w:szCs w:val="24"/>
                <w:shd w:val="clear" w:color="auto" w:fill="FFFFFF"/>
                <w:lang w:val="it-IT" w:eastAsia="ro-RO"/>
              </w:rPr>
              <w:t xml:space="preserve">     Considerăm prioritară utilizarea finanțărilor rambursabile în derulare pentru a putea fi asigurată finanţarea continuării şi finalizării investiţiilor în curs de implementare, fiind necesară completarea art. 63 din Legea nr. 273/2006, cu modificările şi completările ulterioare, în sensul determinării autorităților administrației publice locale de a disponibiliza sumele autorizate ca trageri pentru anul în curs astfel încât să poată fi alocate altor unități administrativ-teritoriale solicitante. Astfel, prin proiectul de act normativ se propune ca î</w:t>
            </w:r>
            <w:r w:rsidRPr="00BD13FE">
              <w:rPr>
                <w:rFonts w:ascii="Times New Roman" w:eastAsia="Segoe UI" w:hAnsi="Times New Roman" w:cs="Arial"/>
                <w:kern w:val="1"/>
                <w:sz w:val="24"/>
                <w:szCs w:val="24"/>
                <w:shd w:val="clear" w:color="auto" w:fill="FFFFFF"/>
                <w:lang w:val="it-IT" w:eastAsia="ro-RO" w:bidi="hi-IN"/>
              </w:rPr>
              <w:t xml:space="preserve">n cazul tragerilor din finanțările rambursabile contractate, a căror autorizare trebuie să se încadreze în limitele anuale, în condițiile legii, unitățile/subdiviziunile administrativ-teritoriale au obligația, ca până la data de </w:t>
            </w:r>
            <w:r w:rsidRPr="00BD13FE">
              <w:rPr>
                <w:rFonts w:ascii="Times New Roman" w:eastAsia="Segoe UI" w:hAnsi="Times New Roman" w:cs="Arial"/>
                <w:sz w:val="24"/>
                <w:szCs w:val="24"/>
                <w:shd w:val="clear" w:color="auto" w:fill="FFFFFF"/>
                <w:lang w:val="it-IT" w:eastAsia="ro-RO"/>
              </w:rPr>
              <w:t xml:space="preserve">15 august a fiecărui an, reprezentând data înregistrării la registratura Ministerului Finanțelor Publice, </w:t>
            </w:r>
            <w:r w:rsidRPr="00BD13FE">
              <w:rPr>
                <w:rFonts w:ascii="Times New Roman" w:eastAsia="Segoe UI" w:hAnsi="Times New Roman" w:cs="Arial"/>
                <w:kern w:val="1"/>
                <w:sz w:val="24"/>
                <w:szCs w:val="24"/>
                <w:shd w:val="clear" w:color="auto" w:fill="FFFFFF"/>
                <w:lang w:val="it-IT" w:eastAsia="ro-RO" w:bidi="hi-IN"/>
              </w:rPr>
              <w:t xml:space="preserve">să transmită Comisiei de autorizare a împrumuturilor locale o notificare care să cuprindă: sumele autorizate pentru anul în curs, sumele autorizate care vor fi trase până la sfârșitul anului, sumele autorizate ca trageri pentru anul în curs care sunt disponibilizate și reprogramarea tragerilor pentru anii următori.   </w:t>
            </w:r>
            <w:r w:rsidRPr="00BD13FE">
              <w:rPr>
                <w:rFonts w:ascii="Times New Roman" w:eastAsia="Segoe UI" w:hAnsi="Times New Roman" w:cs="Arial"/>
                <w:sz w:val="24"/>
                <w:szCs w:val="24"/>
                <w:shd w:val="clear" w:color="auto" w:fill="FFFFFF"/>
                <w:lang w:val="it-IT" w:eastAsia="ro-RO"/>
              </w:rPr>
              <w:t>Tragerile se reautorizează pentru anii următori pentru care există disponibil din plafoanele de trageri, în condițiile legii. Sumele disponibilizate pentru anul în curs se utilizează pentru autorizarea de trageri aferente altor finanțări rambursabile</w:t>
            </w:r>
            <w:r w:rsidRPr="00BD13FE">
              <w:rPr>
                <w:rFonts w:ascii="Times New Roman" w:eastAsia="Segoe UI" w:hAnsi="Times New Roman" w:cs="Arial"/>
                <w:b/>
                <w:bCs/>
                <w:sz w:val="24"/>
                <w:szCs w:val="24"/>
                <w:shd w:val="clear" w:color="auto" w:fill="FFFFFF"/>
                <w:lang w:val="it-IT" w:eastAsia="ro-RO"/>
              </w:rPr>
              <w:t xml:space="preserve"> </w:t>
            </w:r>
            <w:r w:rsidRPr="00BD13FE">
              <w:rPr>
                <w:rFonts w:ascii="Times New Roman" w:eastAsia="Segoe UI" w:hAnsi="Times New Roman" w:cs="Arial"/>
                <w:sz w:val="24"/>
                <w:szCs w:val="24"/>
                <w:shd w:val="clear" w:color="auto" w:fill="FFFFFF"/>
                <w:lang w:val="it-IT" w:eastAsia="ro-RO"/>
              </w:rPr>
              <w:t>contractate de unități/subdiviziuni administrativ-teritoriale</w:t>
            </w:r>
            <w:r w:rsidRPr="00BD13FE">
              <w:rPr>
                <w:rFonts w:ascii="Times New Roman" w:eastAsia="Segoe UI" w:hAnsi="Times New Roman" w:cs="Arial"/>
                <w:kern w:val="1"/>
                <w:sz w:val="24"/>
                <w:szCs w:val="24"/>
                <w:shd w:val="clear" w:color="auto" w:fill="FFFFFF"/>
                <w:lang w:val="it-IT" w:eastAsia="ro-RO" w:bidi="hi-IN"/>
              </w:rPr>
              <w:t xml:space="preserve">. </w:t>
            </w:r>
          </w:p>
          <w:p w:rsidR="00841BDA" w:rsidRPr="00BD13FE" w:rsidRDefault="00841BDA" w:rsidP="00841BDA">
            <w:pPr>
              <w:widowControl w:val="0"/>
              <w:tabs>
                <w:tab w:val="left" w:pos="644"/>
              </w:tabs>
              <w:autoSpaceDE w:val="0"/>
              <w:snapToGrid w:val="0"/>
              <w:contextualSpacing/>
              <w:jc w:val="both"/>
              <w:rPr>
                <w:rFonts w:ascii="Times New Roman" w:eastAsia="SimSun" w:hAnsi="Times New Roman" w:cs="Arial"/>
                <w:kern w:val="1"/>
                <w:sz w:val="24"/>
                <w:szCs w:val="24"/>
                <w:shd w:val="clear" w:color="auto" w:fill="FFFFFF"/>
                <w:lang w:val="it-IT" w:bidi="hi-IN"/>
              </w:rPr>
            </w:pPr>
            <w:r w:rsidRPr="00BD13FE">
              <w:rPr>
                <w:rFonts w:ascii="Arial" w:eastAsia="Segoe UI" w:hAnsi="Arial" w:cs="Arial"/>
                <w:kern w:val="1"/>
                <w:sz w:val="24"/>
                <w:szCs w:val="24"/>
                <w:shd w:val="clear" w:color="auto" w:fill="FFFFFF"/>
                <w:lang w:val="it-IT" w:eastAsia="ro-RO" w:bidi="hi-IN"/>
              </w:rPr>
              <w:t xml:space="preserve">         </w:t>
            </w:r>
            <w:r w:rsidRPr="00BD13FE">
              <w:rPr>
                <w:rFonts w:ascii="Times New Roman" w:eastAsia="Segoe UI" w:hAnsi="Times New Roman" w:cs="Arial"/>
                <w:kern w:val="1"/>
                <w:sz w:val="24"/>
                <w:szCs w:val="24"/>
                <w:shd w:val="clear" w:color="auto" w:fill="FFFFFF"/>
                <w:lang w:val="it-IT" w:eastAsia="ro-RO" w:bidi="hi-IN"/>
              </w:rPr>
              <w:t xml:space="preserve"> În cazul nerespectării acestei obligații, CAÎL </w:t>
            </w:r>
            <w:r w:rsidRPr="00BD13FE">
              <w:rPr>
                <w:rFonts w:ascii="Times New Roman" w:eastAsia="SimSun" w:hAnsi="Times New Roman" w:cs="Arial"/>
                <w:kern w:val="1"/>
                <w:sz w:val="24"/>
                <w:szCs w:val="24"/>
                <w:shd w:val="clear" w:color="auto" w:fill="FFFFFF"/>
                <w:lang w:val="it-IT" w:bidi="hi-IN"/>
              </w:rPr>
              <w:t>anulează sumele autorizate ca trageri pentru anul în curs și netrase până la data de 31 august, conform ultimei raportări transmise de autoritățile administrației publice locale în baza art. 62 alin. (10) din Legea nr. 273/2006, cu modificările și completările ulterioare, potrivit cărora p</w:t>
            </w:r>
            <w:r w:rsidRPr="00BD13FE">
              <w:rPr>
                <w:rFonts w:ascii="Times New Roman" w:eastAsia="Segoe UI" w:hAnsi="Times New Roman" w:cs="Arial"/>
                <w:kern w:val="1"/>
                <w:sz w:val="24"/>
                <w:szCs w:val="24"/>
                <w:shd w:val="clear" w:color="auto" w:fill="FFFFFF"/>
                <w:lang w:val="it-IT" w:eastAsia="ro-RO" w:bidi="hi-IN"/>
              </w:rPr>
              <w:t xml:space="preserve">e perioada utilizării şi rambursării împrumutului contractat/garantat, </w:t>
            </w:r>
            <w:r w:rsidRPr="00BD13FE">
              <w:rPr>
                <w:rFonts w:ascii="Times New Roman" w:eastAsia="Segoe UI" w:hAnsi="Times New Roman" w:cs="Arial"/>
                <w:kern w:val="1"/>
                <w:sz w:val="24"/>
                <w:szCs w:val="24"/>
                <w:shd w:val="clear" w:color="auto" w:fill="FFFFFF"/>
                <w:lang w:val="it-IT" w:eastAsia="ro-RO" w:bidi="hi-IN"/>
              </w:rPr>
              <w:lastRenderedPageBreak/>
              <w:t>raportarea la Ministerul Finanţelor Publice a datelor privind datoria publică locală se efectuează lunar, în termen de 15 zile de la sfârşitul perioadei de raportare</w:t>
            </w:r>
            <w:r w:rsidRPr="00BD13FE">
              <w:rPr>
                <w:rFonts w:ascii="Times New Roman" w:eastAsia="SimSun" w:hAnsi="Times New Roman" w:cs="Arial"/>
                <w:kern w:val="1"/>
                <w:sz w:val="24"/>
                <w:szCs w:val="24"/>
                <w:shd w:val="clear" w:color="auto" w:fill="FFFFFF"/>
                <w:lang w:val="it-IT" w:bidi="hi-IN"/>
              </w:rPr>
              <w:t>. Tragerile se reautorizează pentru anii următori pentru care există disponibil din plafoanele de trageri, în condițiile legii, iar sumele disponibilizate pentru anul în curs se utilizează pentru autorizarea de trageri aferente altor finanțări rambursabile contractate de unități/subdiviziuni administrativ-teritoriale.</w:t>
            </w:r>
          </w:p>
          <w:p w:rsidR="00841BDA" w:rsidRPr="00BD13FE" w:rsidRDefault="00841BDA" w:rsidP="00841BDA">
            <w:pPr>
              <w:tabs>
                <w:tab w:val="left" w:pos="644"/>
              </w:tabs>
              <w:autoSpaceDE w:val="0"/>
              <w:snapToGrid w:val="0"/>
              <w:contextualSpacing/>
              <w:jc w:val="both"/>
              <w:rPr>
                <w:rFonts w:ascii="Arial" w:hAnsi="Arial" w:cs="Arial"/>
              </w:rPr>
            </w:pPr>
            <w:r w:rsidRPr="00BD13FE">
              <w:rPr>
                <w:rFonts w:ascii="Times New Roman" w:eastAsia="Segoe UI" w:hAnsi="Times New Roman" w:cs="Arial"/>
                <w:kern w:val="1"/>
                <w:sz w:val="24"/>
                <w:szCs w:val="24"/>
                <w:shd w:val="clear" w:color="auto" w:fill="FFFFFF"/>
                <w:lang w:val="it-IT" w:eastAsia="ro-RO" w:bidi="hi-IN"/>
              </w:rPr>
              <w:t xml:space="preserve">Pentru anul 2018 se propune ca termenele precizate anterior, 15 și 31 august, să fie 15 și 31 octombrie 2018. </w:t>
            </w:r>
          </w:p>
          <w:p w:rsidR="00841BDA" w:rsidRPr="00BD13FE" w:rsidRDefault="00841BDA" w:rsidP="00841BDA">
            <w:pPr>
              <w:widowControl w:val="0"/>
              <w:jc w:val="both"/>
              <w:rPr>
                <w:rFonts w:ascii="Times New Roman" w:eastAsia="SimSun" w:hAnsi="Times New Roman" w:cs="Arial"/>
                <w:kern w:val="1"/>
                <w:sz w:val="24"/>
                <w:szCs w:val="24"/>
                <w:shd w:val="clear" w:color="auto" w:fill="FFFFFF"/>
                <w:lang w:val="it-IT" w:bidi="hi-IN"/>
              </w:rPr>
            </w:pPr>
            <w:r w:rsidRPr="00BD13FE">
              <w:rPr>
                <w:rFonts w:ascii="Arial" w:hAnsi="Arial" w:cs="Arial"/>
              </w:rPr>
              <w:t xml:space="preserve">         </w:t>
            </w:r>
            <w:r w:rsidRPr="00BD13FE">
              <w:rPr>
                <w:rFonts w:ascii="Times New Roman" w:hAnsi="Times New Roman" w:cs="Arial"/>
                <w:sz w:val="24"/>
                <w:szCs w:val="24"/>
              </w:rPr>
              <w:t xml:space="preserve">În cazul în care unitatea/subdiviziunea administrativ-teritorială nu utilizează până la sfârșitul anului sumele pe care le-a notificat către CAÎL, prin proiectul de act normativ se propune plata de către respectiva unitate/subdiviziune a unei penalități </w:t>
            </w:r>
            <w:r w:rsidRPr="00BD13FE">
              <w:rPr>
                <w:rFonts w:ascii="Times New Roman" w:hAnsi="Times New Roman" w:cs="Arial"/>
                <w:kern w:val="1"/>
                <w:sz w:val="24"/>
                <w:szCs w:val="24"/>
                <w:lang w:bidi="hi-IN"/>
              </w:rPr>
              <w:t>de 2% din suma notificată și netrasă. Obligația calculării și plății acestei penalități, până la data de 31 martie a anului următor, revine u</w:t>
            </w:r>
            <w:r w:rsidRPr="00BD13FE">
              <w:rPr>
                <w:rFonts w:ascii="Times New Roman" w:hAnsi="Times New Roman" w:cs="Arial"/>
                <w:sz w:val="24"/>
                <w:szCs w:val="24"/>
              </w:rPr>
              <w:t>nității/</w:t>
            </w:r>
            <w:r w:rsidRPr="00BD13FE">
              <w:rPr>
                <w:rFonts w:ascii="Times New Roman" w:hAnsi="Times New Roman" w:cs="Arial"/>
                <w:kern w:val="1"/>
                <w:sz w:val="24"/>
                <w:szCs w:val="24"/>
                <w:lang w:bidi="hi-IN"/>
              </w:rPr>
              <w:t>subdiviziunii administrativ-teritoriale în cauză, suma încasată reprezentând venit la bugetul de stat.</w:t>
            </w:r>
            <w:r w:rsidRPr="00BD13FE">
              <w:rPr>
                <w:rFonts w:ascii="Times New Roman" w:hAnsi="Times New Roman" w:cs="Arial"/>
                <w:sz w:val="24"/>
                <w:szCs w:val="24"/>
              </w:rPr>
              <w:t xml:space="preserve"> </w:t>
            </w:r>
          </w:p>
          <w:p w:rsidR="00841BDA" w:rsidRPr="00BD13FE" w:rsidRDefault="00841BDA" w:rsidP="00841BDA">
            <w:pPr>
              <w:widowControl w:val="0"/>
              <w:tabs>
                <w:tab w:val="left" w:pos="644"/>
              </w:tabs>
              <w:autoSpaceDE w:val="0"/>
              <w:snapToGrid w:val="0"/>
              <w:contextualSpacing/>
              <w:jc w:val="both"/>
              <w:rPr>
                <w:rFonts w:ascii="Times New Roman" w:hAnsi="Times New Roman"/>
              </w:rPr>
            </w:pPr>
            <w:r w:rsidRPr="00BD13FE">
              <w:rPr>
                <w:rFonts w:ascii="Times New Roman" w:eastAsia="SimSun" w:hAnsi="Times New Roman" w:cs="Arial"/>
                <w:kern w:val="1"/>
                <w:sz w:val="24"/>
                <w:szCs w:val="24"/>
                <w:shd w:val="clear" w:color="auto" w:fill="FFFFFF"/>
                <w:lang w:val="it-IT" w:bidi="hi-IN"/>
              </w:rPr>
              <w:t xml:space="preserve">          Nestabilirea de urgenţă a unor astfel de măsuri poate conduce la:</w:t>
            </w:r>
          </w:p>
          <w:p w:rsidR="00841BDA" w:rsidRPr="00BD13FE" w:rsidRDefault="00841BDA" w:rsidP="00841BDA">
            <w:pPr>
              <w:numPr>
                <w:ilvl w:val="0"/>
                <w:numId w:val="11"/>
              </w:numPr>
              <w:spacing w:line="240" w:lineRule="atLeast"/>
              <w:jc w:val="both"/>
              <w:rPr>
                <w:rFonts w:ascii="Times New Roman" w:hAnsi="Times New Roman" w:cs="Arial"/>
              </w:rPr>
            </w:pPr>
            <w:r w:rsidRPr="00BD13FE">
              <w:rPr>
                <w:rFonts w:ascii="Times New Roman" w:hAnsi="Times New Roman"/>
              </w:rPr>
              <w:t>înregistrarea de plăţi restante, daune, eventuale cheltuieli de judecată cauzate de</w:t>
            </w:r>
            <w:r w:rsidRPr="00BD13FE">
              <w:rPr>
                <w:rFonts w:ascii="Times New Roman" w:hAnsi="Times New Roman" w:cs="Arial"/>
              </w:rPr>
              <w:t xml:space="preserve"> neîndeplinirea de către unităţile</w:t>
            </w:r>
            <w:r w:rsidRPr="00BD13FE">
              <w:rPr>
                <w:rFonts w:ascii="Times New Roman" w:hAnsi="Times New Roman"/>
              </w:rPr>
              <w:t>/subdiviziunile</w:t>
            </w:r>
            <w:r w:rsidRPr="00BD13FE">
              <w:rPr>
                <w:rFonts w:ascii="Times New Roman" w:hAnsi="Times New Roman" w:cs="Arial"/>
              </w:rPr>
              <w:t xml:space="preserve"> administrativ-teritoriale a obligaţiilor contractuale faţă</w:t>
            </w:r>
            <w:r w:rsidRPr="00BD13FE">
              <w:rPr>
                <w:rFonts w:ascii="Times New Roman" w:hAnsi="Times New Roman"/>
              </w:rPr>
              <w:t xml:space="preserve"> de societăţile executante ale lucrărilor de investiţii publice de interes local;</w:t>
            </w:r>
          </w:p>
          <w:p w:rsidR="00841BDA" w:rsidRPr="00BD13FE" w:rsidRDefault="00841BDA" w:rsidP="00841BDA">
            <w:pPr>
              <w:numPr>
                <w:ilvl w:val="0"/>
                <w:numId w:val="11"/>
              </w:numPr>
              <w:spacing w:line="240" w:lineRule="atLeast"/>
              <w:jc w:val="both"/>
              <w:rPr>
                <w:rFonts w:ascii="Times New Roman" w:hAnsi="Times New Roman" w:cs="Arial"/>
              </w:rPr>
            </w:pPr>
            <w:r w:rsidRPr="00BD13FE">
              <w:rPr>
                <w:rFonts w:ascii="Times New Roman" w:hAnsi="Times New Roman" w:cs="Arial"/>
              </w:rPr>
              <w:t>generarea de costuri suplimentare pentru bugetele locale (dobânzi şi comisioane majorate, plăţi de comisioane de angajament), ca urmare a solicitării către</w:t>
            </w:r>
            <w:r w:rsidRPr="00BD13FE">
              <w:rPr>
                <w:rFonts w:ascii="Times New Roman" w:hAnsi="Times New Roman"/>
              </w:rPr>
              <w:t xml:space="preserve"> băncile finanţatoare a </w:t>
            </w:r>
            <w:r w:rsidRPr="00BD13FE">
              <w:rPr>
                <w:rFonts w:ascii="Times New Roman" w:hAnsi="Times New Roman" w:cs="Arial"/>
              </w:rPr>
              <w:t>revizuirii clauzelor contractelor de credit în sensul extinderii perioadei de utilizare a creditelor;</w:t>
            </w:r>
          </w:p>
          <w:p w:rsidR="00841BDA" w:rsidRPr="00BD13FE" w:rsidRDefault="00841BDA" w:rsidP="00841BDA">
            <w:pPr>
              <w:numPr>
                <w:ilvl w:val="0"/>
                <w:numId w:val="11"/>
              </w:numPr>
              <w:spacing w:line="240" w:lineRule="atLeast"/>
              <w:jc w:val="both"/>
              <w:rPr>
                <w:rFonts w:ascii="Times New Roman" w:hAnsi="Times New Roman" w:cs="Arial"/>
              </w:rPr>
            </w:pPr>
            <w:r w:rsidRPr="00BD13FE">
              <w:rPr>
                <w:rFonts w:ascii="Times New Roman" w:hAnsi="Times New Roman" w:cs="Arial"/>
              </w:rPr>
              <w:t>probleme de natură socială întrucât societăţile executante ale lucrărilor de investiţii care nu îşi încasează sumele aferente lucrărilor executat</w:t>
            </w:r>
            <w:r w:rsidRPr="00BD13FE">
              <w:rPr>
                <w:rFonts w:ascii="Times New Roman" w:hAnsi="Times New Roman"/>
              </w:rPr>
              <w:t>e nu pot efectua plata drepturilor salariale către proprii angajaţi;</w:t>
            </w:r>
          </w:p>
          <w:p w:rsidR="00841BDA" w:rsidRPr="00BD13FE" w:rsidRDefault="00841BDA" w:rsidP="00841BDA">
            <w:pPr>
              <w:numPr>
                <w:ilvl w:val="0"/>
                <w:numId w:val="11"/>
              </w:numPr>
              <w:spacing w:line="240" w:lineRule="atLeast"/>
              <w:jc w:val="both"/>
              <w:rPr>
                <w:rFonts w:ascii="Times New Roman" w:eastAsia="SimSun" w:hAnsi="Times New Roman" w:cs="Arial"/>
                <w:kern w:val="1"/>
                <w:sz w:val="24"/>
                <w:szCs w:val="24"/>
                <w:shd w:val="clear" w:color="auto" w:fill="FFFFFF"/>
                <w:lang w:val="it-IT" w:bidi="hi-IN"/>
              </w:rPr>
            </w:pPr>
            <w:r w:rsidRPr="00BD13FE">
              <w:rPr>
                <w:rFonts w:ascii="Times New Roman" w:hAnsi="Times New Roman" w:cs="Arial"/>
              </w:rPr>
              <w:t>neîncasarea la bugetul statului a sumelor reprezentând T.V.A. aferentă facturilor reprezentând contravaloarea lucrărilor executate în beneficiul unităţilor</w:t>
            </w:r>
            <w:r w:rsidRPr="00BD13FE">
              <w:rPr>
                <w:rFonts w:ascii="Times New Roman" w:hAnsi="Times New Roman"/>
              </w:rPr>
              <w:t>/subdiviziunilor</w:t>
            </w:r>
            <w:r w:rsidRPr="00BD13FE">
              <w:rPr>
                <w:rFonts w:ascii="Times New Roman" w:hAnsi="Times New Roman" w:cs="Arial"/>
              </w:rPr>
              <w:t xml:space="preserve"> administrativ-terito</w:t>
            </w:r>
            <w:r w:rsidRPr="00BD13FE">
              <w:rPr>
                <w:rFonts w:ascii="Times New Roman" w:hAnsi="Times New Roman"/>
              </w:rPr>
              <w:t>riale, precum şi a impozitelor aferente drepturilor salariale.</w:t>
            </w:r>
          </w:p>
          <w:p w:rsidR="00841BDA" w:rsidRPr="00BD13FE" w:rsidRDefault="00841BDA" w:rsidP="00841BDA">
            <w:pPr>
              <w:widowControl w:val="0"/>
              <w:tabs>
                <w:tab w:val="left" w:pos="644"/>
              </w:tabs>
              <w:autoSpaceDE w:val="0"/>
              <w:snapToGrid w:val="0"/>
              <w:contextualSpacing/>
              <w:jc w:val="both"/>
            </w:pPr>
            <w:r w:rsidRPr="00BD13FE">
              <w:rPr>
                <w:rFonts w:ascii="Times New Roman" w:eastAsia="SimSun" w:hAnsi="Times New Roman" w:cs="Arial"/>
                <w:kern w:val="1"/>
                <w:sz w:val="24"/>
                <w:szCs w:val="24"/>
                <w:shd w:val="clear" w:color="auto" w:fill="FFFFFF"/>
                <w:lang w:val="it-IT" w:bidi="hi-IN"/>
              </w:rPr>
              <w:t xml:space="preserve">        Neadoptarea în regim de urgenţă a prevederilor propuse prin prezentul act normativ conduce la blocarea implementării investiţiilor de interes pentru comunităţile locale.</w:t>
            </w:r>
          </w:p>
          <w:p w:rsidR="00841BDA" w:rsidRPr="00BD13FE" w:rsidRDefault="00841BDA" w:rsidP="003C489F">
            <w:pPr>
              <w:ind w:firstLine="499"/>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CB7B7F">
        <w:trPr>
          <w:trHeight w:val="260"/>
        </w:trPr>
        <w:tc>
          <w:tcPr>
            <w:tcW w:w="2836" w:type="dxa"/>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lastRenderedPageBreak/>
              <w:t xml:space="preserve">3. Alte informații </w:t>
            </w:r>
          </w:p>
        </w:tc>
        <w:tc>
          <w:tcPr>
            <w:tcW w:w="6804" w:type="dxa"/>
            <w:gridSpan w:val="10"/>
            <w:tcBorders>
              <w:top w:val="single" w:sz="4" w:space="0" w:color="000000"/>
              <w:left w:val="single" w:sz="4" w:space="0" w:color="000000"/>
              <w:bottom w:val="single" w:sz="4" w:space="0" w:color="000000"/>
              <w:right w:val="single" w:sz="4" w:space="0" w:color="000000"/>
            </w:tcBorders>
          </w:tcPr>
          <w:p w:rsidR="00E10817" w:rsidRPr="00BD13FE" w:rsidRDefault="001E0558" w:rsidP="000849ED">
            <w:pPr>
              <w:pStyle w:val="DefaultText"/>
              <w:ind w:firstLine="825"/>
              <w:contextualSpacing/>
              <w:jc w:val="both"/>
              <w:rPr>
                <w:bCs/>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bCs/>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D13FE" w:rsidRPr="00BD13FE" w:rsidTr="00CB7B7F">
        <w:trPr>
          <w:cantSplit/>
        </w:trPr>
        <w:tc>
          <w:tcPr>
            <w:tcW w:w="9640" w:type="dxa"/>
            <w:gridSpan w:val="11"/>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pStyle w:val="Heading2"/>
              <w:spacing w:before="0" w:after="0"/>
              <w:contextualSpacing/>
              <w:jc w:val="center"/>
              <w:rPr>
                <w:rFonts w:ascii="Times New Roman" w:hAnsi="Times New Roman"/>
                <w:b w:val="0"/>
                <w:bCs w:val="0"/>
                <w:i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b w:val="0"/>
                <w:bCs w:val="0"/>
                <w:i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Secțiunea a 3-a</w:t>
            </w:r>
          </w:p>
          <w:p w:rsidR="00E10817" w:rsidRPr="00BD13FE" w:rsidRDefault="00E10817"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Impactul socio-economic al prezentului act normativ</w:t>
            </w: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Impactul macroeconomic</w:t>
            </w: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687" w:type="dxa"/>
            <w:gridSpan w:val="5"/>
            <w:tcBorders>
              <w:top w:val="single" w:sz="4" w:space="0" w:color="000000"/>
              <w:left w:val="single" w:sz="4" w:space="0" w:color="000000"/>
              <w:bottom w:val="single" w:sz="4" w:space="0" w:color="000000"/>
              <w:right w:val="single" w:sz="4" w:space="0" w:color="000000"/>
            </w:tcBorders>
            <w:hideMark/>
          </w:tcPr>
          <w:p w:rsidR="00E10817" w:rsidRPr="00BD13FE" w:rsidRDefault="00D52B86"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Proiectul de act normativ are ca obiect revizuirea unor proceduri administrative fără impact macroeconomic relevant.</w:t>
            </w: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D13FE">
              <w:rPr>
                <w:rFonts w:ascii="Times New Roman" w:hAnsi="Times New Roman" w:cs="Times New Roman"/>
                <w:bCs/>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Impactul asupra mediului concurențial și domeniului ajutoarelor de stat</w:t>
            </w:r>
          </w:p>
        </w:tc>
        <w:tc>
          <w:tcPr>
            <w:tcW w:w="4687" w:type="dxa"/>
            <w:gridSpan w:val="5"/>
            <w:tcBorders>
              <w:top w:val="single" w:sz="4" w:space="0" w:color="000000"/>
              <w:left w:val="single" w:sz="4" w:space="0" w:color="000000"/>
              <w:bottom w:val="single" w:sz="4" w:space="0" w:color="000000"/>
              <w:right w:val="single" w:sz="4" w:space="0" w:color="000000"/>
            </w:tcBorders>
          </w:tcPr>
          <w:p w:rsidR="00E10817" w:rsidRPr="00BD13FE" w:rsidRDefault="00C470DC" w:rsidP="000849ED">
            <w:pPr>
              <w:contextualSpacing/>
              <w:jc w:val="both"/>
              <w:rPr>
                <w:rFonts w:ascii="Times New Roman" w:hAnsi="Times New Roman" w:cs="Times New Roman"/>
                <w:sz w:val="24"/>
                <w:szCs w:val="24"/>
                <w:lang w:val="fr-BE"/>
              </w:rPr>
            </w:pPr>
            <w:proofErr w:type="spellStart"/>
            <w:r w:rsidRPr="00BD13FE">
              <w:rPr>
                <w:rFonts w:ascii="Times New Roman" w:hAnsi="Times New Roman" w:cs="Times New Roman"/>
                <w:sz w:val="24"/>
                <w:szCs w:val="24"/>
                <w:lang w:val="fr-BE"/>
              </w:rPr>
              <w:t>Proiectul</w:t>
            </w:r>
            <w:proofErr w:type="spellEnd"/>
            <w:r w:rsidRPr="00BD13FE">
              <w:rPr>
                <w:rFonts w:ascii="Times New Roman" w:hAnsi="Times New Roman" w:cs="Times New Roman"/>
                <w:sz w:val="24"/>
                <w:szCs w:val="24"/>
                <w:lang w:val="fr-BE"/>
              </w:rPr>
              <w:t xml:space="preserve"> de </w:t>
            </w:r>
            <w:proofErr w:type="spellStart"/>
            <w:r w:rsidRPr="00BD13FE">
              <w:rPr>
                <w:rFonts w:ascii="Times New Roman" w:hAnsi="Times New Roman" w:cs="Times New Roman"/>
                <w:sz w:val="24"/>
                <w:szCs w:val="24"/>
                <w:lang w:val="fr-BE"/>
              </w:rPr>
              <w:t>act</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normativ</w:t>
            </w:r>
            <w:proofErr w:type="spellEnd"/>
            <w:r w:rsidRPr="00BD13FE">
              <w:rPr>
                <w:rFonts w:ascii="Times New Roman" w:hAnsi="Times New Roman" w:cs="Times New Roman"/>
                <w:sz w:val="24"/>
                <w:szCs w:val="24"/>
                <w:lang w:val="fr-BE"/>
              </w:rPr>
              <w:t xml:space="preserve"> nu </w:t>
            </w:r>
            <w:proofErr w:type="spellStart"/>
            <w:r w:rsidRPr="00BD13FE">
              <w:rPr>
                <w:rFonts w:ascii="Times New Roman" w:hAnsi="Times New Roman" w:cs="Times New Roman"/>
                <w:sz w:val="24"/>
                <w:szCs w:val="24"/>
                <w:lang w:val="fr-BE"/>
              </w:rPr>
              <w:t>creează</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distorsiuni</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ale</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mecanismelor</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concurenţiale</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existente</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şi</w:t>
            </w:r>
            <w:proofErr w:type="spellEnd"/>
            <w:r w:rsidRPr="00BD13FE">
              <w:rPr>
                <w:rFonts w:ascii="Times New Roman" w:hAnsi="Times New Roman" w:cs="Times New Roman"/>
                <w:sz w:val="24"/>
                <w:szCs w:val="24"/>
                <w:lang w:val="fr-BE"/>
              </w:rPr>
              <w:t xml:space="preserve"> nu are impact </w:t>
            </w:r>
            <w:proofErr w:type="spellStart"/>
            <w:r w:rsidRPr="00BD13FE">
              <w:rPr>
                <w:rFonts w:ascii="Times New Roman" w:hAnsi="Times New Roman" w:cs="Times New Roman"/>
                <w:sz w:val="24"/>
                <w:szCs w:val="24"/>
                <w:lang w:val="fr-BE"/>
              </w:rPr>
              <w:t>asupra</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domeniului</w:t>
            </w:r>
            <w:proofErr w:type="spellEnd"/>
            <w:r w:rsidRPr="00BD13FE">
              <w:rPr>
                <w:rFonts w:ascii="Times New Roman" w:hAnsi="Times New Roman" w:cs="Times New Roman"/>
                <w:sz w:val="24"/>
                <w:szCs w:val="24"/>
                <w:lang w:val="fr-BE"/>
              </w:rPr>
              <w:t xml:space="preserve"> </w:t>
            </w:r>
            <w:proofErr w:type="spellStart"/>
            <w:r w:rsidRPr="00BD13FE">
              <w:rPr>
                <w:rFonts w:ascii="Times New Roman" w:hAnsi="Times New Roman" w:cs="Times New Roman"/>
                <w:sz w:val="24"/>
                <w:szCs w:val="24"/>
                <w:lang w:val="fr-BE"/>
              </w:rPr>
              <w:t>ajutoarelor</w:t>
            </w:r>
            <w:proofErr w:type="spellEnd"/>
            <w:r w:rsidRPr="00BD13FE">
              <w:rPr>
                <w:rFonts w:ascii="Times New Roman" w:hAnsi="Times New Roman" w:cs="Times New Roman"/>
                <w:sz w:val="24"/>
                <w:szCs w:val="24"/>
                <w:lang w:val="fr-BE"/>
              </w:rPr>
              <w:t xml:space="preserve"> de stat.</w:t>
            </w:r>
          </w:p>
          <w:p w:rsidR="00D52B86" w:rsidRPr="00BD13FE" w:rsidRDefault="00D52B86"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Modificarea propusă urmăreşte flexibilizarea procesului de acordare a măsurilor de ajutor de </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stat de către Ministerul Finanțelor Publice, cu respectarea legislaţiei Uniunii Europene în domeniu.</w:t>
            </w: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 Impactul asupra mediului de afaceri</w:t>
            </w: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687" w:type="dxa"/>
            <w:gridSpan w:val="5"/>
            <w:tcBorders>
              <w:top w:val="single" w:sz="4" w:space="0" w:color="000000"/>
              <w:left w:val="single" w:sz="4" w:space="0" w:color="000000"/>
              <w:bottom w:val="single" w:sz="4" w:space="0" w:color="000000"/>
              <w:right w:val="single" w:sz="4" w:space="0" w:color="000000"/>
            </w:tcBorders>
            <w:hideMark/>
          </w:tcPr>
          <w:p w:rsidR="00C470DC" w:rsidRPr="00BD13FE" w:rsidRDefault="00C470DC" w:rsidP="00C470DC">
            <w:pPr>
              <w:snapToGrid w:val="0"/>
              <w:ind w:left="26"/>
              <w:jc w:val="both"/>
              <w:rPr>
                <w:rFonts w:ascii="Times New Roman" w:hAnsi="Times New Roman" w:cs="Times New Roman"/>
                <w:sz w:val="24"/>
                <w:szCs w:val="24"/>
              </w:rPr>
            </w:pPr>
            <w:r w:rsidRPr="00BD13FE">
              <w:rPr>
                <w:rFonts w:ascii="Times New Roman" w:hAnsi="Times New Roman" w:cs="Times New Roman"/>
                <w:sz w:val="24"/>
                <w:szCs w:val="24"/>
              </w:rPr>
              <w:t>Reducerea TVA pentru serviciile de restaurant și de catering, cazare şi activităţi sportive, recreative şi distractive reprezintă o pârghie deosebit de importantă din perspectiva dezvoltării economiei naționale, prin susţinerea consumului intern, ca urmare a creării premiselor necesare pentru scăderea prețurilor bunurilor și serviciilor.</w:t>
            </w:r>
          </w:p>
          <w:p w:rsidR="00E10817" w:rsidRPr="00BD13FE" w:rsidRDefault="00C470DC" w:rsidP="00C470DC">
            <w:pPr>
              <w:contextualSpacing/>
              <w:jc w:val="both"/>
              <w:rPr>
                <w:rFonts w:ascii="Times New Roman" w:hAnsi="Times New Roman" w:cs="Times New Roman"/>
                <w:sz w:val="24"/>
                <w:szCs w:val="24"/>
              </w:rPr>
            </w:pPr>
            <w:r w:rsidRPr="00BD13FE">
              <w:rPr>
                <w:rFonts w:ascii="Times New Roman" w:hAnsi="Times New Roman" w:cs="Times New Roman"/>
                <w:sz w:val="24"/>
                <w:szCs w:val="24"/>
              </w:rPr>
              <w:t>Un alt considerent avut în vedere pentru stimularea creșterii economice îl constituie impactul unui astfel de demers prin prisma reducerii evaziunii fiscale și, implicit, prin crearea unui mediu concurențial adecvat, cu efecte benefice asupra mediului de afaceri, generând totodată creșterea consumului intern și stimularea creșterii economice.</w:t>
            </w:r>
          </w:p>
          <w:p w:rsidR="00D52B86" w:rsidRPr="00BD13FE" w:rsidRDefault="00D52B86" w:rsidP="00C470DC">
            <w:pPr>
              <w:contextualSpacing/>
              <w:jc w:val="both"/>
              <w:rPr>
                <w:rFonts w:ascii="Times New Roman" w:hAnsi="Times New Roman" w:cs="Times New Roman"/>
                <w:sz w:val="24"/>
                <w:szCs w:val="24"/>
              </w:rPr>
            </w:pPr>
          </w:p>
          <w:p w:rsidR="00D52B86" w:rsidRPr="00BD13FE" w:rsidRDefault="00D52B86" w:rsidP="00C470DC">
            <w:pPr>
              <w:contextualSpacing/>
              <w:jc w:val="both"/>
              <w:rPr>
                <w:rFonts w:ascii="Times New Roman" w:hAnsi="Times New Roman" w:cs="Times New Roman"/>
                <w:sz w:val="24"/>
                <w:szCs w:val="24"/>
              </w:rPr>
            </w:pPr>
            <w:r w:rsidRPr="00BD13FE">
              <w:rPr>
                <w:rFonts w:ascii="Times New Roman" w:hAnsi="Times New Roman" w:cs="Times New Roman"/>
                <w:sz w:val="24"/>
                <w:szCs w:val="24"/>
              </w:rPr>
              <w:t>Impactul asupra mediului de afaceri este indirect, dar pozitiv în sensul că se va putea utiliza cât mai rapid întregul buget al schemei de ajutor de stat prevăzut pe întreaga perioadă de valabilitate a acesteia, deci se va realiza o absorbție rapidă a fondurilor publice și astfel proiectele de investiții vor demara cât mai rapid.</w:t>
            </w:r>
          </w:p>
          <w:p w:rsidR="00D52B86" w:rsidRPr="00BD13FE" w:rsidRDefault="00D52B86" w:rsidP="00C470DC">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D13FE">
              <w:rPr>
                <w:rFonts w:ascii="Times New Roman" w:hAnsi="Times New Roman" w:cs="Times New Roman"/>
                <w:bCs/>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Impactul asupra sarcinilor administrative</w:t>
            </w:r>
          </w:p>
        </w:tc>
        <w:tc>
          <w:tcPr>
            <w:tcW w:w="4687" w:type="dxa"/>
            <w:gridSpan w:val="5"/>
            <w:tcBorders>
              <w:top w:val="single" w:sz="4" w:space="0" w:color="000000"/>
              <w:left w:val="single" w:sz="4" w:space="0" w:color="000000"/>
              <w:bottom w:val="single" w:sz="4" w:space="0" w:color="000000"/>
              <w:right w:val="single" w:sz="4" w:space="0" w:color="000000"/>
            </w:tcBorders>
          </w:tcPr>
          <w:p w:rsidR="00E10817" w:rsidRPr="00BD13FE" w:rsidRDefault="00D52B86"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Proiectul de act normativ are ca obiectiv principal diminuarea sarcinilor administrative la nivelul instituţiilor publice centrale şi o mai bună distribuţie a acestora în funcţie de responsabilităţi şi atribuţii legale.</w:t>
            </w: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D13FE">
              <w:rPr>
                <w:rFonts w:ascii="Times New Roman" w:hAnsi="Times New Roman" w:cs="Times New Roman"/>
                <w:bCs/>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Impactul asupra întreprinderilor mici și mijlocii</w:t>
            </w:r>
          </w:p>
        </w:tc>
        <w:tc>
          <w:tcPr>
            <w:tcW w:w="4687" w:type="dxa"/>
            <w:gridSpan w:val="5"/>
            <w:tcBorders>
              <w:top w:val="single" w:sz="4" w:space="0" w:color="000000"/>
              <w:left w:val="single" w:sz="4" w:space="0" w:color="000000"/>
              <w:bottom w:val="single" w:sz="4" w:space="0" w:color="000000"/>
              <w:right w:val="single" w:sz="4" w:space="0" w:color="000000"/>
            </w:tcBorders>
          </w:tcPr>
          <w:p w:rsidR="00E10817" w:rsidRPr="00BD13FE" w:rsidRDefault="00C470DC"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elaborează raportul testului IMM.</w:t>
            </w: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Impactul social</w:t>
            </w:r>
          </w:p>
        </w:tc>
        <w:tc>
          <w:tcPr>
            <w:tcW w:w="4687" w:type="dxa"/>
            <w:gridSpan w:val="5"/>
            <w:tcBorders>
              <w:top w:val="single" w:sz="4" w:space="0" w:color="000000"/>
              <w:left w:val="single" w:sz="4" w:space="0" w:color="000000"/>
              <w:bottom w:val="single" w:sz="4" w:space="0" w:color="000000"/>
              <w:right w:val="single" w:sz="4" w:space="0" w:color="000000"/>
            </w:tcBorders>
          </w:tcPr>
          <w:p w:rsidR="00C470DC" w:rsidRPr="00BD13FE" w:rsidRDefault="00C470DC" w:rsidP="00C470DC">
            <w:pPr>
              <w:snapToGrid w:val="0"/>
              <w:ind w:left="26"/>
              <w:jc w:val="both"/>
              <w:rPr>
                <w:rFonts w:ascii="Times New Roman" w:hAnsi="Times New Roman" w:cs="Times New Roman"/>
                <w:sz w:val="24"/>
                <w:szCs w:val="24"/>
              </w:rPr>
            </w:pPr>
            <w:r w:rsidRPr="00BD13FE">
              <w:rPr>
                <w:rFonts w:ascii="Times New Roman" w:hAnsi="Times New Roman" w:cs="Times New Roman"/>
                <w:sz w:val="24"/>
                <w:szCs w:val="24"/>
              </w:rPr>
              <w:t xml:space="preserve">Extinderea aplicării cotei reduse de TVA de 5% pentru serviciile de restaurant și de catering, cazare şi activităţi sportive, recreative şi distractive are un efect pozitiv asupra populaţiei prin crearea premiselor pentru reducerea preţurilor în domeniile respective. </w:t>
            </w:r>
          </w:p>
          <w:p w:rsidR="00E10817" w:rsidRPr="00BD13FE" w:rsidRDefault="00C470DC" w:rsidP="00C470DC">
            <w:pPr>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rPr>
              <w:t>Reducerea cotei de TVA constituie o măsură de natură a spori echitatea, prin îmbunătățirea distribuției veniturilor sau prin faptul că anumite bunuri devin mai accesibile pentru întreaga populație.</w:t>
            </w: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Impactul asupra mediului </w:t>
            </w: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687" w:type="dxa"/>
            <w:gridSpan w:val="5"/>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Prezentul act normativ nu se referă la acest subiect.</w:t>
            </w:r>
          </w:p>
        </w:tc>
      </w:tr>
      <w:tr w:rsidR="00BD13FE" w:rsidRPr="00BD13FE" w:rsidTr="00CB7B7F">
        <w:tc>
          <w:tcPr>
            <w:tcW w:w="4953" w:type="dxa"/>
            <w:gridSpan w:val="6"/>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Alte informații</w:t>
            </w:r>
          </w:p>
        </w:tc>
        <w:tc>
          <w:tcPr>
            <w:tcW w:w="4687" w:type="dxa"/>
            <w:gridSpan w:val="5"/>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 au fost identificate.</w:t>
            </w:r>
          </w:p>
        </w:tc>
      </w:tr>
      <w:tr w:rsidR="00BD13FE" w:rsidRPr="00BD13FE" w:rsidTr="00CB7B7F">
        <w:trPr>
          <w:cantSplit/>
        </w:trPr>
        <w:tc>
          <w:tcPr>
            <w:tcW w:w="9640" w:type="dxa"/>
            <w:gridSpan w:val="11"/>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pStyle w:val="Heading2"/>
              <w:spacing w:before="0" w:after="0"/>
              <w:contextualSpacing/>
              <w:jc w:val="center"/>
              <w:rPr>
                <w:rFonts w:ascii="Times New Roman" w:hAnsi="Times New Roman"/>
                <w:b w:val="0"/>
                <w:i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b w:val="0"/>
                <w:bCs w:val="0"/>
                <w:i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Secțiunea a 4-a</w:t>
            </w:r>
          </w:p>
          <w:p w:rsidR="00E10817" w:rsidRPr="00BD13FE" w:rsidRDefault="00E10817"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Impactul financiar asupra bugetului general consolidat, </w:t>
            </w:r>
          </w:p>
          <w:p w:rsidR="00E10817" w:rsidRPr="00BD13FE" w:rsidRDefault="00E10817"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atât pe termen scurt, pentru anul curent,</w:t>
            </w:r>
          </w:p>
          <w:p w:rsidR="00E10817" w:rsidRPr="00BD13FE" w:rsidRDefault="00FD74B9"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0817"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cât și pe termen lung (pe 5 ani)</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mld lei</w:t>
            </w:r>
          </w:p>
        </w:tc>
      </w:tr>
      <w:tr w:rsidR="00BD13FE" w:rsidRPr="00BD13FE" w:rsidTr="00CB7B7F">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992" w:type="dxa"/>
            <w:gridSpan w:val="3"/>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Anul curent</w:t>
            </w:r>
          </w:p>
        </w:tc>
        <w:tc>
          <w:tcPr>
            <w:tcW w:w="4082" w:type="dxa"/>
            <w:gridSpan w:val="5"/>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Următorii 4 ani</w:t>
            </w:r>
          </w:p>
        </w:tc>
        <w:tc>
          <w:tcPr>
            <w:tcW w:w="880" w:type="dxa"/>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contextualSpacing/>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 pe 5 ani</w:t>
            </w:r>
          </w:p>
        </w:tc>
      </w:tr>
      <w:tr w:rsidR="00BD13FE" w:rsidRPr="00BD13FE" w:rsidTr="00FD74B9">
        <w:trPr>
          <w:trHeight w:val="487"/>
        </w:trPr>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2" w:type="dxa"/>
            <w:gridSpan w:val="3"/>
            <w:tcBorders>
              <w:top w:val="single" w:sz="4" w:space="0" w:color="000000"/>
              <w:left w:val="single" w:sz="4" w:space="0" w:color="000000"/>
              <w:bottom w:val="single" w:sz="4" w:space="0" w:color="000000"/>
              <w:right w:val="nil"/>
            </w:tcBorders>
            <w:hideMark/>
          </w:tcPr>
          <w:p w:rsidR="00E10817" w:rsidRPr="00BD13FE" w:rsidRDefault="00097045"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c>
        <w:tc>
          <w:tcPr>
            <w:tcW w:w="1276" w:type="dxa"/>
            <w:gridSpan w:val="2"/>
            <w:tcBorders>
              <w:top w:val="single" w:sz="4" w:space="0" w:color="000000"/>
              <w:left w:val="single" w:sz="4" w:space="0" w:color="000000"/>
              <w:bottom w:val="single" w:sz="4" w:space="0" w:color="000000"/>
              <w:right w:val="nil"/>
            </w:tcBorders>
            <w:hideMark/>
          </w:tcPr>
          <w:p w:rsidR="00E10817" w:rsidRPr="00BD13FE" w:rsidRDefault="00FD74B9" w:rsidP="000849ED">
            <w:pPr>
              <w:contextualSpacing/>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tc>
        <w:tc>
          <w:tcPr>
            <w:tcW w:w="992" w:type="dxa"/>
            <w:tcBorders>
              <w:top w:val="single" w:sz="4" w:space="0" w:color="000000"/>
              <w:left w:val="single" w:sz="4" w:space="0" w:color="000000"/>
              <w:bottom w:val="single" w:sz="4" w:space="0" w:color="000000"/>
              <w:right w:val="nil"/>
            </w:tcBorders>
            <w:hideMark/>
          </w:tcPr>
          <w:p w:rsidR="00E10817" w:rsidRPr="00BD13FE" w:rsidRDefault="00FD74B9" w:rsidP="000849ED">
            <w:pPr>
              <w:contextualSpacing/>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851" w:type="dxa"/>
            <w:tcBorders>
              <w:top w:val="single" w:sz="4" w:space="0" w:color="000000"/>
              <w:left w:val="single" w:sz="4" w:space="0" w:color="000000"/>
              <w:bottom w:val="single" w:sz="4" w:space="0" w:color="000000"/>
              <w:right w:val="nil"/>
            </w:tcBorders>
            <w:hideMark/>
          </w:tcPr>
          <w:p w:rsidR="00E10817" w:rsidRPr="00BD13FE" w:rsidRDefault="00FD74B9" w:rsidP="000849ED">
            <w:pPr>
              <w:contextualSpacing/>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963" w:type="dxa"/>
            <w:tcBorders>
              <w:top w:val="single" w:sz="4" w:space="0" w:color="000000"/>
              <w:left w:val="single" w:sz="4" w:space="0" w:color="000000"/>
              <w:bottom w:val="single" w:sz="4" w:space="0" w:color="000000"/>
              <w:right w:val="nil"/>
            </w:tcBorders>
            <w:hideMark/>
          </w:tcPr>
          <w:p w:rsidR="00E10817" w:rsidRPr="00BD13FE" w:rsidRDefault="00FD74B9" w:rsidP="000849ED">
            <w:pPr>
              <w:contextualSpacing/>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c>
          <w:tcPr>
            <w:tcW w:w="880" w:type="dxa"/>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contextualSpacing/>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BD13FE" w:rsidRPr="00BD13FE" w:rsidTr="00FD74B9">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pStyle w:val="BodyText"/>
              <w:numPr>
                <w:ilvl w:val="0"/>
                <w:numId w:val="1"/>
              </w:numPr>
              <w:suppressAutoHyphens/>
              <w:contextualSpacing/>
              <w:jc w:val="both"/>
              <w:rPr>
                <w:b w:val="0"/>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b w:val="0"/>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Modificări ale veniturilor bugetare, plus/minus, din care:</w:t>
            </w:r>
          </w:p>
          <w:p w:rsidR="00E10817" w:rsidRPr="00BD13FE" w:rsidRDefault="00E10817" w:rsidP="000849ED">
            <w:pPr>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buget de stat, din acesta:</w:t>
            </w:r>
          </w:p>
          <w:p w:rsidR="00E10817" w:rsidRPr="00BD13FE" w:rsidRDefault="00E10817" w:rsidP="000849ED">
            <w:pPr>
              <w:pStyle w:val="Footer"/>
              <w:contextualSpacing/>
              <w:rPr>
                <w:rFonts w:eastAsia="Calibr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eastAsia="Calibr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impozit pe profit</w:t>
            </w:r>
          </w:p>
          <w:p w:rsidR="00E10817" w:rsidRPr="00BD13FE" w:rsidRDefault="00E10817" w:rsidP="000849ED">
            <w:pPr>
              <w:pStyle w:val="Footer"/>
              <w:contextualSpacing/>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eastAsia="Calibr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impozit pe venit</w:t>
            </w:r>
          </w:p>
          <w:p w:rsidR="00C470DC" w:rsidRPr="00BD13FE" w:rsidRDefault="00C470DC" w:rsidP="000849ED">
            <w:pPr>
              <w:pStyle w:val="Footer"/>
              <w:contextualSpacing/>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(iii)  TVA</w:t>
            </w:r>
          </w:p>
          <w:p w:rsidR="00C470DC" w:rsidRPr="00BD13FE" w:rsidRDefault="00C470DC" w:rsidP="000849ED">
            <w:pPr>
              <w:pStyle w:val="Footer"/>
              <w:contextualSpacing/>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817" w:rsidRPr="00BD13FE" w:rsidRDefault="00E10817" w:rsidP="000849ED">
            <w:pPr>
              <w:pStyle w:val="Footer"/>
              <w:contextualSpacing/>
              <w:rPr>
                <w:rFonts w:eastAsia="Calibr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bugetele locale:</w:t>
            </w:r>
          </w:p>
          <w:p w:rsidR="00E10817" w:rsidRPr="00BD13FE" w:rsidRDefault="00E10817" w:rsidP="000849ED">
            <w:pPr>
              <w:pStyle w:val="Footer"/>
              <w:contextualSpacing/>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eastAsia="Calibr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impozit pe profit</w:t>
            </w:r>
          </w:p>
          <w:p w:rsidR="00E10817" w:rsidRPr="00BD13FE" w:rsidRDefault="00E10817" w:rsidP="000849ED">
            <w:pPr>
              <w:pStyle w:val="Footer"/>
              <w:contextualSpacing/>
              <w:rPr>
                <w:rFonts w:eastAsia="Calibr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bugetul asigurărilor sociale de stat:</w:t>
            </w:r>
          </w:p>
          <w:p w:rsidR="00E10817" w:rsidRPr="00BD13FE" w:rsidRDefault="00E10817" w:rsidP="000849ED">
            <w:pPr>
              <w:pStyle w:val="Footer"/>
              <w:contextualSpacing/>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eastAsia="Calibr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contribuții de asigurări</w:t>
            </w:r>
          </w:p>
        </w:tc>
        <w:tc>
          <w:tcPr>
            <w:tcW w:w="992" w:type="dxa"/>
            <w:gridSpan w:val="3"/>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DC" w:rsidRPr="00BD13FE" w:rsidRDefault="00C470DC"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DC" w:rsidRPr="00BD13FE" w:rsidRDefault="00097045" w:rsidP="00097045">
            <w:pPr>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-0,04</w:t>
            </w:r>
          </w:p>
        </w:tc>
        <w:tc>
          <w:tcPr>
            <w:tcW w:w="1276" w:type="dxa"/>
            <w:gridSpan w:val="2"/>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DC" w:rsidRPr="00BD13FE" w:rsidRDefault="00C470DC"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DC" w:rsidRPr="00BD13FE" w:rsidRDefault="00C470DC"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DC" w:rsidRPr="00BD13FE" w:rsidRDefault="00C470DC"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DC" w:rsidRPr="00BD13FE" w:rsidRDefault="00C470DC"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0DC" w:rsidRPr="00BD13FE" w:rsidRDefault="00FD74B9" w:rsidP="00BD13FE">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r w:rsid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992"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7F08A1"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-0,53</w:t>
            </w:r>
          </w:p>
        </w:tc>
        <w:tc>
          <w:tcPr>
            <w:tcW w:w="851"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-0,56</w:t>
            </w:r>
          </w:p>
        </w:tc>
        <w:tc>
          <w:tcPr>
            <w:tcW w:w="963"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74B9" w:rsidRPr="00BD13FE" w:rsidRDefault="00FD74B9"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-0,61</w:t>
            </w:r>
          </w:p>
        </w:tc>
        <w:tc>
          <w:tcPr>
            <w:tcW w:w="880" w:type="dxa"/>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FD74B9">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Modificări ale cheltuielilor bugetare, plus, din care:</w:t>
            </w:r>
          </w:p>
          <w:p w:rsidR="00E10817" w:rsidRPr="00BD13FE" w:rsidRDefault="00E10817" w:rsidP="000849ED">
            <w:pPr>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buget de stat, din acesta:</w:t>
            </w:r>
          </w:p>
          <w:p w:rsidR="00E10817" w:rsidRPr="00BD13FE" w:rsidRDefault="00E10817" w:rsidP="000849ED">
            <w:pPr>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cheltuieli de personal</w:t>
            </w: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transferuri</w:t>
            </w: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bugetul FNUAS, din care:</w:t>
            </w:r>
          </w:p>
          <w:p w:rsidR="00E10817" w:rsidRPr="00BD13FE" w:rsidRDefault="00E10817" w:rsidP="000849ED">
            <w:pPr>
              <w:ind w:left="30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(i)bunuri și servicii</w:t>
            </w:r>
          </w:p>
        </w:tc>
        <w:tc>
          <w:tcPr>
            <w:tcW w:w="992" w:type="dxa"/>
            <w:gridSpan w:val="3"/>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817" w:rsidRPr="00BD13FE" w:rsidRDefault="00B9566A"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r w:rsidR="00623902"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276" w:type="dxa"/>
            <w:gridSpan w:val="2"/>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1"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63"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0" w:type="dxa"/>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FD74B9">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Impact financiar, plus/minus, din care:</w:t>
            </w: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buget de stat</w:t>
            </w:r>
          </w:p>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bugete locale</w:t>
            </w:r>
          </w:p>
        </w:tc>
        <w:tc>
          <w:tcPr>
            <w:tcW w:w="992" w:type="dxa"/>
            <w:gridSpan w:val="3"/>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817" w:rsidRPr="00BD13FE" w:rsidRDefault="00E10817" w:rsidP="000849ED">
            <w:pPr>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0817" w:rsidRPr="00BD13FE" w:rsidRDefault="00E10817" w:rsidP="000849ED">
            <w:pPr>
              <w:contextualSpacing/>
              <w:jc w:val="both"/>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276" w:type="dxa"/>
            <w:gridSpan w:val="2"/>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1"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63"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0" w:type="dxa"/>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FD74B9">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Propuneri pentru acoperirea creșterii cheltuielilor bugetare</w:t>
            </w:r>
          </w:p>
        </w:tc>
        <w:tc>
          <w:tcPr>
            <w:tcW w:w="992" w:type="dxa"/>
            <w:gridSpan w:val="3"/>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1"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63"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0" w:type="dxa"/>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FD74B9">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pStyle w:val="Footer"/>
              <w:contextualSpacing/>
              <w:jc w:val="both"/>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Propuneri pentru a compensa reducerea veniturilor bugetare</w:t>
            </w:r>
          </w:p>
        </w:tc>
        <w:tc>
          <w:tcPr>
            <w:tcW w:w="992" w:type="dxa"/>
            <w:gridSpan w:val="3"/>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1"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63"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0" w:type="dxa"/>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FD74B9">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6.Calcule detaliate privind fundamentarea modificărilor veniturilor și/sau cheltuielilor  bugetare</w:t>
            </w:r>
          </w:p>
          <w:p w:rsidR="00E10817" w:rsidRPr="00BD13FE" w:rsidRDefault="00E10817" w:rsidP="000849ED">
            <w:pPr>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de la bugetul de stat</w:t>
            </w:r>
          </w:p>
        </w:tc>
        <w:tc>
          <w:tcPr>
            <w:tcW w:w="992" w:type="dxa"/>
            <w:gridSpan w:val="3"/>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gridSpan w:val="2"/>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2"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1"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63" w:type="dxa"/>
            <w:tcBorders>
              <w:top w:val="single" w:sz="4" w:space="0" w:color="000000"/>
              <w:left w:val="single" w:sz="4" w:space="0" w:color="000000"/>
              <w:bottom w:val="single" w:sz="4" w:space="0" w:color="000000"/>
              <w:right w:val="nil"/>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0" w:type="dxa"/>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D13FE" w:rsidRPr="00BD13FE" w:rsidTr="00CB7B7F">
        <w:trPr>
          <w:cantSplit/>
        </w:trPr>
        <w:tc>
          <w:tcPr>
            <w:tcW w:w="3686" w:type="dxa"/>
            <w:gridSpan w:val="2"/>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 Alte informații</w:t>
            </w:r>
          </w:p>
        </w:tc>
        <w:tc>
          <w:tcPr>
            <w:tcW w:w="5954" w:type="dxa"/>
            <w:gridSpan w:val="9"/>
            <w:tcBorders>
              <w:top w:val="single" w:sz="4" w:space="0" w:color="000000"/>
              <w:left w:val="single" w:sz="4" w:space="0" w:color="000000"/>
              <w:bottom w:val="single" w:sz="4" w:space="0" w:color="000000"/>
              <w:right w:val="single" w:sz="4" w:space="0" w:color="000000"/>
            </w:tcBorders>
          </w:tcPr>
          <w:p w:rsidR="00E10817" w:rsidRPr="00BD13FE" w:rsidRDefault="009C7C09" w:rsidP="000849ED">
            <w:pPr>
              <w:contextualSpacing/>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Impactul bugetar negativ asupra încasărilor din TVA poate fi partial compensat pe termen mediu prin reducerea evaziunii fiscale și creșterea gradului de conformare voluntara în aceste sectoare economice în condițiile în care în anul 2015 s-a constatat că reducerea TVA de la 24% la 9% a condus la creșterea sumelor declarate în deconturile de TVA cu 30%  în sectorul de restaurante.</w:t>
            </w:r>
          </w:p>
        </w:tc>
      </w:tr>
      <w:tr w:rsidR="00BD13FE" w:rsidRPr="00BD13FE" w:rsidTr="00CB7B7F">
        <w:trPr>
          <w:cantSplit/>
        </w:trPr>
        <w:tc>
          <w:tcPr>
            <w:tcW w:w="9640" w:type="dxa"/>
            <w:gridSpan w:val="11"/>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pStyle w:val="Heading2"/>
              <w:spacing w:before="0" w:after="0"/>
              <w:contextualSpacing/>
              <w:jc w:val="center"/>
              <w:rPr>
                <w:rFonts w:ascii="Times New Roman" w:eastAsia="Calibri" w:hAnsi="Times New Roman"/>
                <w:b w:val="0"/>
                <w:i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hAnsi="Times New Roman"/>
                <w:b w:val="0"/>
                <w:bCs w:val="0"/>
                <w:i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Secțiunea a 5-a</w:t>
            </w:r>
          </w:p>
          <w:p w:rsidR="00E10817" w:rsidRPr="00BD13FE" w:rsidRDefault="00E10817" w:rsidP="000849ED">
            <w:pPr>
              <w:contextualSpacing/>
              <w:jc w:val="center"/>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3FE">
              <w:rPr>
                <w:rFonts w:ascii="Times New Roman" w:eastAsia="Calibri"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3FE">
              <w:rPr>
                <w:rFonts w:ascii="Times New Roman" w:hAnsi="Times New Roman" w:cs="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Efectele prezentului act normativ asupra legislației în vigoare</w:t>
            </w:r>
          </w:p>
        </w:tc>
      </w:tr>
      <w:tr w:rsidR="00BD13FE" w:rsidRPr="00BD13FE" w:rsidTr="00CB7B7F">
        <w:trPr>
          <w:cantSplit/>
        </w:trPr>
        <w:tc>
          <w:tcPr>
            <w:tcW w:w="4341" w:type="dxa"/>
            <w:gridSpan w:val="3"/>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1.</w:t>
            </w:r>
            <w:r w:rsidRPr="00BD13FE">
              <w:rPr>
                <w:rFonts w:ascii="Times New Roman" w:hAnsi="Times New Roman" w:cs="Times New Roman"/>
                <w:b/>
                <w:bCs/>
                <w:sz w:val="24"/>
                <w:szCs w:val="24"/>
              </w:rPr>
              <w:tab/>
              <w:t xml:space="preserve"> Măsuri normative necesare pentru aplicarea prevederilor prezentului act normativ:</w:t>
            </w:r>
          </w:p>
          <w:p w:rsidR="00E10817" w:rsidRPr="00BD13FE" w:rsidRDefault="00E10817"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a. Acte normative în vigoare ce vor fi modificate sau abrogate, ca urmare a intrării în vigoare a prezentului act normativ;</w:t>
            </w:r>
          </w:p>
          <w:p w:rsidR="00E10817" w:rsidRPr="00BD13FE" w:rsidRDefault="00E10817"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b. Acte normative ce urmează a fi elaborate în vederea implementării noilor dispoziții;</w:t>
            </w:r>
          </w:p>
        </w:tc>
        <w:tc>
          <w:tcPr>
            <w:tcW w:w="5299" w:type="dxa"/>
            <w:gridSpan w:val="8"/>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b/>
                <w:bCs/>
                <w:sz w:val="24"/>
                <w:szCs w:val="24"/>
              </w:rPr>
            </w:pPr>
          </w:p>
          <w:p w:rsidR="00E10817" w:rsidRPr="00BD13FE" w:rsidRDefault="008C7783" w:rsidP="000849ED">
            <w:pPr>
              <w:snapToGrid w:val="0"/>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Ordine ale preşedintelui A.N.A.F. prevăzute la Art. IV alin. (4) și Art. V alin. (5) din prezenta ordonanţă de urgenţă.</w:t>
            </w:r>
          </w:p>
          <w:p w:rsidR="00E10817" w:rsidRPr="00BD13FE" w:rsidRDefault="00E10817" w:rsidP="000849ED">
            <w:pPr>
              <w:snapToGrid w:val="0"/>
              <w:contextualSpacing/>
              <w:jc w:val="both"/>
              <w:rPr>
                <w:rFonts w:ascii="Times New Roman" w:hAnsi="Times New Roman" w:cs="Times New Roman"/>
                <w:bCs/>
                <w:sz w:val="24"/>
                <w:szCs w:val="24"/>
              </w:rPr>
            </w:pPr>
          </w:p>
          <w:p w:rsidR="00E10817" w:rsidRPr="00BD13FE" w:rsidRDefault="00B9566A"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Ordin al ministrului finanțelor publice pentru aprobarea procedurii privind angajarea, lichidarea, ordonanţarea şi plata sumelor stabilite prin hotărâri definitive ale instanței de judecată, cu titlu de premiu la Loteria bonurilor fiscale</w:t>
            </w:r>
          </w:p>
          <w:p w:rsidR="00841BDA" w:rsidRPr="00BD13FE" w:rsidRDefault="00841BDA" w:rsidP="000849ED">
            <w:pPr>
              <w:contextualSpacing/>
              <w:jc w:val="both"/>
              <w:rPr>
                <w:rFonts w:ascii="Times New Roman" w:hAnsi="Times New Roman" w:cs="Times New Roman"/>
                <w:bCs/>
                <w:sz w:val="24"/>
                <w:szCs w:val="24"/>
              </w:rPr>
            </w:pPr>
          </w:p>
          <w:p w:rsidR="00841BDA" w:rsidRPr="00BD13FE" w:rsidRDefault="00841BDA"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Ordin al ministrului finanțelor publice pentru aprobarea procedurii privind angajarea, lichidarea, ordonanţarea şi plata sumelor stabilite prin hotărâri definitive ale instanței de judecată, cu titlu de premiu la Loteria bonurilor fiscale</w:t>
            </w:r>
          </w:p>
        </w:tc>
      </w:tr>
      <w:tr w:rsidR="00BD13FE" w:rsidRPr="00BD13FE" w:rsidTr="00CB7B7F">
        <w:trPr>
          <w:cantSplit/>
        </w:trPr>
        <w:tc>
          <w:tcPr>
            <w:tcW w:w="4341" w:type="dxa"/>
            <w:gridSpan w:val="3"/>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1¹. Compatibilitatea prezentului act normativ cu legislația în domeniul achizițiilor publice</w:t>
            </w:r>
          </w:p>
        </w:tc>
        <w:tc>
          <w:tcPr>
            <w:tcW w:w="5299" w:type="dxa"/>
            <w:gridSpan w:val="8"/>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Prezentul act normativ nu se referă la acest subiect.</w:t>
            </w:r>
          </w:p>
        </w:tc>
      </w:tr>
      <w:tr w:rsidR="00BD13FE" w:rsidRPr="00BD13FE" w:rsidTr="00CB7B7F">
        <w:trPr>
          <w:cantSplit/>
        </w:trPr>
        <w:tc>
          <w:tcPr>
            <w:tcW w:w="4341" w:type="dxa"/>
            <w:gridSpan w:val="3"/>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2. Conformitatea prezentului act normativ cu legislația comunitară în cazul actelor ce transpun prevederi comunitare</w:t>
            </w:r>
          </w:p>
        </w:tc>
        <w:tc>
          <w:tcPr>
            <w:tcW w:w="5299" w:type="dxa"/>
            <w:gridSpan w:val="8"/>
            <w:tcBorders>
              <w:top w:val="single" w:sz="4" w:space="0" w:color="000000"/>
              <w:left w:val="single" w:sz="4" w:space="0" w:color="000000"/>
              <w:bottom w:val="single" w:sz="4" w:space="0" w:color="000000"/>
              <w:right w:val="single" w:sz="4" w:space="0" w:color="000000"/>
            </w:tcBorders>
          </w:tcPr>
          <w:p w:rsidR="00E10817" w:rsidRPr="00BD13FE" w:rsidRDefault="00010B78"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Noile prevederi privind taxa pe valoarea adăugată conforme cu legislaţia comunitară în materie.</w:t>
            </w:r>
          </w:p>
        </w:tc>
      </w:tr>
      <w:tr w:rsidR="00BD13FE" w:rsidRPr="00BD13FE" w:rsidTr="00CB7B7F">
        <w:trPr>
          <w:cantSplit/>
        </w:trPr>
        <w:tc>
          <w:tcPr>
            <w:tcW w:w="4341" w:type="dxa"/>
            <w:gridSpan w:val="3"/>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3. Măsuri normative necesare aplicării directe a actelor normative comunitare</w:t>
            </w:r>
          </w:p>
        </w:tc>
        <w:tc>
          <w:tcPr>
            <w:tcW w:w="5299" w:type="dxa"/>
            <w:gridSpan w:val="8"/>
            <w:tcBorders>
              <w:top w:val="single" w:sz="4" w:space="0" w:color="000000"/>
              <w:left w:val="single" w:sz="4" w:space="0" w:color="000000"/>
              <w:bottom w:val="single" w:sz="4" w:space="0" w:color="000000"/>
              <w:right w:val="single" w:sz="4" w:space="0" w:color="000000"/>
            </w:tcBorders>
            <w:hideMark/>
          </w:tcPr>
          <w:p w:rsidR="00010B78" w:rsidRPr="00BD13FE" w:rsidRDefault="00010B78" w:rsidP="00010B78">
            <w:pPr>
              <w:snapToGrid w:val="0"/>
              <w:ind w:right="142"/>
              <w:jc w:val="both"/>
              <w:rPr>
                <w:rFonts w:ascii="Times New Roman" w:hAnsi="Times New Roman" w:cs="Times New Roman"/>
                <w:sz w:val="24"/>
                <w:szCs w:val="24"/>
              </w:rPr>
            </w:pPr>
            <w:r w:rsidRPr="00BD13FE">
              <w:rPr>
                <w:rFonts w:ascii="Times New Roman" w:hAnsi="Times New Roman" w:cs="Times New Roman"/>
                <w:sz w:val="24"/>
                <w:szCs w:val="24"/>
              </w:rPr>
              <w:t>Conform cu legislația Uniunii Europene.</w:t>
            </w:r>
          </w:p>
          <w:p w:rsidR="00E10817" w:rsidRPr="00BD13FE" w:rsidRDefault="00E10817" w:rsidP="000849ED">
            <w:pPr>
              <w:contextualSpacing/>
              <w:jc w:val="both"/>
              <w:rPr>
                <w:rFonts w:ascii="Times New Roman" w:hAnsi="Times New Roman" w:cs="Times New Roman"/>
                <w:bCs/>
                <w:sz w:val="24"/>
                <w:szCs w:val="24"/>
              </w:rPr>
            </w:pPr>
          </w:p>
        </w:tc>
      </w:tr>
      <w:tr w:rsidR="00BD13FE" w:rsidRPr="00BD13FE" w:rsidTr="00CB7B7F">
        <w:trPr>
          <w:cantSplit/>
        </w:trPr>
        <w:tc>
          <w:tcPr>
            <w:tcW w:w="4341" w:type="dxa"/>
            <w:gridSpan w:val="3"/>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
                <w:sz w:val="24"/>
                <w:szCs w:val="24"/>
              </w:rPr>
            </w:pPr>
            <w:r w:rsidRPr="00BD13FE">
              <w:rPr>
                <w:rFonts w:ascii="Times New Roman" w:hAnsi="Times New Roman" w:cs="Times New Roman"/>
                <w:b/>
                <w:sz w:val="24"/>
                <w:szCs w:val="24"/>
              </w:rPr>
              <w:t>4. Hotărâri ale Curții de Justiție a Uniunii Europene</w:t>
            </w:r>
          </w:p>
        </w:tc>
        <w:tc>
          <w:tcPr>
            <w:tcW w:w="5299" w:type="dxa"/>
            <w:gridSpan w:val="8"/>
            <w:tcBorders>
              <w:top w:val="single" w:sz="4" w:space="0" w:color="000000"/>
              <w:left w:val="single" w:sz="4" w:space="0" w:color="000000"/>
              <w:bottom w:val="single" w:sz="4" w:space="0" w:color="000000"/>
              <w:right w:val="single" w:sz="4" w:space="0" w:color="000000"/>
            </w:tcBorders>
            <w:hideMark/>
          </w:tcPr>
          <w:p w:rsidR="00010B78" w:rsidRPr="00BD13FE" w:rsidRDefault="00010B78" w:rsidP="00010B78">
            <w:pPr>
              <w:snapToGrid w:val="0"/>
              <w:ind w:right="142"/>
              <w:jc w:val="both"/>
              <w:rPr>
                <w:rFonts w:ascii="Times New Roman" w:hAnsi="Times New Roman" w:cs="Times New Roman"/>
                <w:sz w:val="24"/>
                <w:szCs w:val="24"/>
              </w:rPr>
            </w:pPr>
            <w:r w:rsidRPr="00BD13FE">
              <w:rPr>
                <w:rFonts w:ascii="Times New Roman" w:hAnsi="Times New Roman" w:cs="Times New Roman"/>
                <w:sz w:val="24"/>
                <w:szCs w:val="24"/>
              </w:rPr>
              <w:t>Modificările legislative nu contravin jurisprudenţei Curţii de Justiţie a Uniunii Europene.</w:t>
            </w:r>
          </w:p>
          <w:p w:rsidR="00E10817" w:rsidRPr="00BD13FE" w:rsidRDefault="00E10817" w:rsidP="000849ED">
            <w:pPr>
              <w:contextualSpacing/>
              <w:jc w:val="both"/>
              <w:rPr>
                <w:rFonts w:ascii="Times New Roman" w:hAnsi="Times New Roman" w:cs="Times New Roman"/>
                <w:sz w:val="24"/>
                <w:szCs w:val="24"/>
              </w:rPr>
            </w:pPr>
          </w:p>
        </w:tc>
      </w:tr>
      <w:tr w:rsidR="00BD13FE" w:rsidRPr="00BD13FE" w:rsidTr="00CB7B7F">
        <w:trPr>
          <w:cantSplit/>
        </w:trPr>
        <w:tc>
          <w:tcPr>
            <w:tcW w:w="4341" w:type="dxa"/>
            <w:gridSpan w:val="3"/>
            <w:tcBorders>
              <w:top w:val="single" w:sz="4" w:space="0" w:color="000000"/>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
                <w:sz w:val="24"/>
                <w:szCs w:val="24"/>
              </w:rPr>
            </w:pPr>
            <w:r w:rsidRPr="00BD13FE">
              <w:rPr>
                <w:rFonts w:ascii="Times New Roman" w:hAnsi="Times New Roman" w:cs="Times New Roman"/>
                <w:b/>
                <w:sz w:val="24"/>
                <w:szCs w:val="24"/>
              </w:rPr>
              <w:t>5. Alte acte normative și/sau documente internaționale din care decurg angajamente</w:t>
            </w:r>
          </w:p>
        </w:tc>
        <w:tc>
          <w:tcPr>
            <w:tcW w:w="5299" w:type="dxa"/>
            <w:gridSpan w:val="8"/>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contextualSpacing/>
              <w:jc w:val="both"/>
              <w:rPr>
                <w:rFonts w:ascii="Times New Roman" w:hAnsi="Times New Roman" w:cs="Times New Roman"/>
                <w:sz w:val="24"/>
                <w:szCs w:val="24"/>
              </w:rPr>
            </w:pPr>
            <w:r w:rsidRPr="00BD13FE">
              <w:rPr>
                <w:rFonts w:ascii="Times New Roman" w:hAnsi="Times New Roman" w:cs="Times New Roman"/>
                <w:bCs/>
                <w:sz w:val="24"/>
                <w:szCs w:val="24"/>
              </w:rPr>
              <w:t>Prezentul act normativ nu se referă la acest subiect.</w:t>
            </w:r>
          </w:p>
        </w:tc>
      </w:tr>
      <w:tr w:rsidR="00BD13FE" w:rsidRPr="00BD13FE" w:rsidTr="00CB7B7F">
        <w:trPr>
          <w:cantSplit/>
        </w:trPr>
        <w:tc>
          <w:tcPr>
            <w:tcW w:w="4341" w:type="dxa"/>
            <w:gridSpan w:val="3"/>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6. Alte informații</w:t>
            </w:r>
          </w:p>
        </w:tc>
        <w:tc>
          <w:tcPr>
            <w:tcW w:w="5299" w:type="dxa"/>
            <w:gridSpan w:val="8"/>
            <w:tcBorders>
              <w:top w:val="single" w:sz="4" w:space="0" w:color="000000"/>
              <w:left w:val="single" w:sz="4" w:space="0" w:color="000000"/>
              <w:bottom w:val="single" w:sz="4" w:space="0" w:color="000000"/>
              <w:right w:val="single" w:sz="4" w:space="0" w:color="000000"/>
            </w:tcBorders>
          </w:tcPr>
          <w:p w:rsidR="00E10817" w:rsidRPr="00BD13FE" w:rsidRDefault="00E10817" w:rsidP="000849ED">
            <w:pPr>
              <w:snapToGrid w:val="0"/>
              <w:contextualSpacing/>
              <w:jc w:val="both"/>
              <w:rPr>
                <w:rFonts w:ascii="Times New Roman" w:hAnsi="Times New Roman" w:cs="Times New Roman"/>
                <w:b/>
                <w:bCs/>
                <w:sz w:val="24"/>
                <w:szCs w:val="24"/>
              </w:rPr>
            </w:pPr>
            <w:r w:rsidRPr="00BD13FE">
              <w:rPr>
                <w:rFonts w:ascii="Times New Roman" w:hAnsi="Times New Roman" w:cs="Times New Roman"/>
                <w:sz w:val="24"/>
                <w:szCs w:val="24"/>
              </w:rPr>
              <w:t>Nu au fost identificate.</w:t>
            </w:r>
          </w:p>
        </w:tc>
      </w:tr>
      <w:tr w:rsidR="00BD13FE" w:rsidRPr="00BD13FE" w:rsidTr="00CB7B7F">
        <w:trPr>
          <w:cantSplit/>
        </w:trPr>
        <w:tc>
          <w:tcPr>
            <w:tcW w:w="9640" w:type="dxa"/>
            <w:gridSpan w:val="11"/>
            <w:tcBorders>
              <w:top w:val="single" w:sz="4" w:space="0" w:color="000000"/>
              <w:left w:val="single" w:sz="4" w:space="0" w:color="000000"/>
              <w:bottom w:val="single" w:sz="4" w:space="0" w:color="000000"/>
              <w:right w:val="single" w:sz="4" w:space="0" w:color="000000"/>
            </w:tcBorders>
            <w:hideMark/>
          </w:tcPr>
          <w:p w:rsidR="00E10817" w:rsidRPr="00BD13FE" w:rsidRDefault="00E10817" w:rsidP="000849ED">
            <w:pPr>
              <w:pStyle w:val="Heading2"/>
              <w:spacing w:before="0" w:after="0"/>
              <w:contextualSpacing/>
              <w:jc w:val="center"/>
              <w:rPr>
                <w:rFonts w:ascii="Times New Roman" w:hAnsi="Times New Roman"/>
                <w:i w:val="0"/>
                <w:sz w:val="24"/>
                <w:szCs w:val="24"/>
              </w:rPr>
            </w:pPr>
            <w:r w:rsidRPr="00BD13FE">
              <w:rPr>
                <w:rFonts w:ascii="Times New Roman" w:hAnsi="Times New Roman"/>
                <w:bCs w:val="0"/>
                <w:i w:val="0"/>
                <w:sz w:val="24"/>
                <w:szCs w:val="24"/>
              </w:rPr>
              <w:t>Secțiunea a 6-a</w:t>
            </w:r>
          </w:p>
          <w:p w:rsidR="00E10817" w:rsidRPr="00BD13FE" w:rsidRDefault="00E10817" w:rsidP="000849ED">
            <w:pPr>
              <w:contextualSpacing/>
              <w:jc w:val="center"/>
              <w:rPr>
                <w:rFonts w:ascii="Times New Roman" w:hAnsi="Times New Roman" w:cs="Times New Roman"/>
                <w:b/>
                <w:bCs/>
                <w:sz w:val="24"/>
                <w:szCs w:val="24"/>
              </w:rPr>
            </w:pPr>
            <w:r w:rsidRPr="00BD13FE">
              <w:rPr>
                <w:rFonts w:ascii="Times New Roman" w:hAnsi="Times New Roman" w:cs="Times New Roman"/>
                <w:b/>
                <w:bCs/>
                <w:sz w:val="24"/>
                <w:szCs w:val="24"/>
              </w:rPr>
              <w:t>Consultările efectuate în vederea elaborării prezentului act normativ</w:t>
            </w:r>
          </w:p>
        </w:tc>
      </w:tr>
      <w:tr w:rsidR="00BD13FE" w:rsidRPr="00BD13FE" w:rsidTr="00CB7B7F">
        <w:trPr>
          <w:cantSplit/>
        </w:trPr>
        <w:tc>
          <w:tcPr>
            <w:tcW w:w="4372" w:type="dxa"/>
            <w:gridSpan w:val="4"/>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1. Informații privind procesul de consultare cu organizații neguvernamentale, institute de cercetare și organisme implicate</w:t>
            </w:r>
          </w:p>
        </w:tc>
        <w:tc>
          <w:tcPr>
            <w:tcW w:w="5268" w:type="dxa"/>
            <w:gridSpan w:val="7"/>
            <w:tcBorders>
              <w:top w:val="single" w:sz="4" w:space="0" w:color="000000"/>
              <w:left w:val="single" w:sz="4" w:space="0" w:color="000000"/>
              <w:bottom w:val="single" w:sz="4" w:space="0" w:color="000000"/>
              <w:right w:val="single" w:sz="4" w:space="0" w:color="000000"/>
            </w:tcBorders>
            <w:hideMark/>
          </w:tcPr>
          <w:p w:rsidR="00010B78" w:rsidRPr="00BD13FE" w:rsidRDefault="00010B78" w:rsidP="00010B78">
            <w:pPr>
              <w:pStyle w:val="DefaultText"/>
              <w:snapToGrid w:val="0"/>
              <w:jc w:val="both"/>
              <w:rPr>
                <w:bCs/>
                <w:lang w:val="ro-RO"/>
              </w:rPr>
            </w:pPr>
            <w:r w:rsidRPr="00BD13FE">
              <w:rPr>
                <w:bCs/>
                <w:lang w:val="ro-RO"/>
              </w:rPr>
              <w:t>În conformitate cu prevederile Legii nr. 52/2003 privind transparența decizională în administrația publică, propunerea legislativă a fost afișată pe pagina de internet a Ministerului Finanțelor Publice pentru dezbatere publică și a fost dezbătută în cadrul Comisiei de dialog social, constituită la nivelul Ministerului Finanțelor Publice.</w:t>
            </w:r>
          </w:p>
          <w:p w:rsidR="00E10817" w:rsidRPr="00BD13FE" w:rsidRDefault="00E10817" w:rsidP="000849ED">
            <w:pPr>
              <w:contextualSpacing/>
              <w:jc w:val="both"/>
              <w:rPr>
                <w:rFonts w:ascii="Times New Roman" w:hAnsi="Times New Roman" w:cs="Times New Roman"/>
                <w:sz w:val="24"/>
                <w:szCs w:val="24"/>
              </w:rPr>
            </w:pPr>
          </w:p>
        </w:tc>
      </w:tr>
      <w:tr w:rsidR="00BD13FE" w:rsidRPr="00BD13FE" w:rsidTr="00CB7B7F">
        <w:trPr>
          <w:cantSplit/>
        </w:trPr>
        <w:tc>
          <w:tcPr>
            <w:tcW w:w="4372" w:type="dxa"/>
            <w:gridSpan w:val="4"/>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lastRenderedPageBreak/>
              <w:t>2. Fundamentarea alegerii organizațiilor cu care a avut loc consultarea, precum și a modului în care activitatea acestor organizații este legată de obiectul actului normativ</w:t>
            </w:r>
          </w:p>
        </w:tc>
        <w:tc>
          <w:tcPr>
            <w:tcW w:w="5268" w:type="dxa"/>
            <w:gridSpan w:val="7"/>
            <w:tcBorders>
              <w:top w:val="single" w:sz="4" w:space="0" w:color="000000"/>
              <w:left w:val="single" w:sz="4" w:space="0" w:color="000000"/>
              <w:bottom w:val="single" w:sz="4" w:space="0" w:color="000000"/>
              <w:right w:val="single" w:sz="4" w:space="0" w:color="000000"/>
            </w:tcBorders>
            <w:hideMark/>
          </w:tcPr>
          <w:p w:rsidR="00E10817" w:rsidRPr="00BD13FE" w:rsidRDefault="00010B78" w:rsidP="000849ED">
            <w:pPr>
              <w:contextualSpacing/>
              <w:jc w:val="both"/>
              <w:rPr>
                <w:rFonts w:ascii="Times New Roman" w:hAnsi="Times New Roman" w:cs="Times New Roman"/>
                <w:sz w:val="24"/>
                <w:szCs w:val="24"/>
              </w:rPr>
            </w:pPr>
            <w:r w:rsidRPr="00BD13FE">
              <w:rPr>
                <w:rFonts w:ascii="Times New Roman" w:hAnsi="Times New Roman" w:cs="Times New Roman"/>
                <w:bCs/>
                <w:sz w:val="24"/>
                <w:szCs w:val="24"/>
              </w:rPr>
              <w:t>-</w:t>
            </w:r>
          </w:p>
        </w:tc>
      </w:tr>
      <w:tr w:rsidR="00BD13FE" w:rsidRPr="00BD13FE" w:rsidTr="00FD4D14">
        <w:trPr>
          <w:cantSplit/>
        </w:trPr>
        <w:tc>
          <w:tcPr>
            <w:tcW w:w="4372" w:type="dxa"/>
            <w:gridSpan w:val="4"/>
            <w:tcBorders>
              <w:top w:val="single" w:sz="4" w:space="0" w:color="000000"/>
              <w:left w:val="single" w:sz="4" w:space="0" w:color="000000"/>
              <w:bottom w:val="single" w:sz="4" w:space="0" w:color="000000"/>
              <w:right w:val="nil"/>
            </w:tcBorders>
            <w:shd w:val="clear" w:color="auto" w:fill="auto"/>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3. Consultările organizate cu autoritățile administrației publice locale, în situația în care actul normativ are ca obiect activități ale acestor autorități, în condițiile Hotărârii Guvernului nr.521/2005 privind procedura de consultare a structurilor asociative ale autorităților administrației publice locale la elaborarea proiectelor de acte normative</w:t>
            </w:r>
          </w:p>
          <w:p w:rsidR="007C3E34" w:rsidRPr="00BD13FE" w:rsidRDefault="007C3E34" w:rsidP="000849ED">
            <w:pPr>
              <w:contextualSpacing/>
              <w:jc w:val="both"/>
              <w:rPr>
                <w:rFonts w:ascii="Times New Roman" w:hAnsi="Times New Roman" w:cs="Times New Roman"/>
                <w:b/>
                <w:bCs/>
                <w:sz w:val="24"/>
                <w:szCs w:val="24"/>
              </w:rPr>
            </w:pPr>
          </w:p>
        </w:tc>
        <w:tc>
          <w:tcPr>
            <w:tcW w:w="5268"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A7C7F" w:rsidRPr="00BD13FE" w:rsidRDefault="009A7C7F" w:rsidP="00841BDA">
            <w:pPr>
              <w:contextualSpacing/>
              <w:jc w:val="both"/>
              <w:rPr>
                <w:rFonts w:ascii="Times New Roman" w:eastAsia="Times New Roman" w:hAnsi="Times New Roman" w:cs="Arial"/>
                <w:sz w:val="24"/>
                <w:szCs w:val="24"/>
                <w:lang w:eastAsia="zh-CN"/>
              </w:rPr>
            </w:pPr>
          </w:p>
          <w:p w:rsidR="00E10817" w:rsidRPr="00BD13FE" w:rsidRDefault="00783655" w:rsidP="00783655">
            <w:pPr>
              <w:contextualSpacing/>
              <w:jc w:val="both"/>
              <w:rPr>
                <w:rFonts w:ascii="Times New Roman" w:hAnsi="Times New Roman" w:cs="Times New Roman"/>
                <w:sz w:val="24"/>
                <w:szCs w:val="24"/>
              </w:rPr>
            </w:pPr>
            <w:r>
              <w:rPr>
                <w:rFonts w:ascii="Times New Roman" w:eastAsia="Times New Roman" w:hAnsi="Times New Roman" w:cs="Arial"/>
                <w:sz w:val="24"/>
                <w:szCs w:val="24"/>
                <w:lang w:eastAsia="zh-CN"/>
              </w:rPr>
              <w:t>P</w:t>
            </w:r>
            <w:r w:rsidR="00841BDA" w:rsidRPr="00BD13FE">
              <w:rPr>
                <w:rFonts w:ascii="Times New Roman" w:eastAsia="Times New Roman" w:hAnsi="Times New Roman" w:cs="Arial"/>
                <w:sz w:val="24"/>
                <w:szCs w:val="24"/>
                <w:lang w:eastAsia="zh-CN"/>
              </w:rPr>
              <w:t>roiectul de act normativ s</w:t>
            </w:r>
            <w:r>
              <w:rPr>
                <w:rFonts w:ascii="Times New Roman" w:eastAsia="Times New Roman" w:hAnsi="Times New Roman" w:cs="Arial"/>
                <w:sz w:val="24"/>
                <w:szCs w:val="24"/>
                <w:lang w:eastAsia="zh-CN"/>
              </w:rPr>
              <w:t>e va</w:t>
            </w:r>
            <w:r w:rsidR="009A7C7F" w:rsidRPr="00BD13FE">
              <w:rPr>
                <w:rFonts w:ascii="Times New Roman" w:eastAsia="Times New Roman" w:hAnsi="Times New Roman" w:cs="Arial"/>
                <w:sz w:val="24"/>
                <w:szCs w:val="24"/>
                <w:lang w:eastAsia="zh-CN"/>
              </w:rPr>
              <w:t xml:space="preserve"> transm</w:t>
            </w:r>
            <w:r>
              <w:rPr>
                <w:rFonts w:ascii="Times New Roman" w:eastAsia="Times New Roman" w:hAnsi="Times New Roman" w:cs="Arial"/>
                <w:sz w:val="24"/>
                <w:szCs w:val="24"/>
                <w:lang w:eastAsia="zh-CN"/>
              </w:rPr>
              <w:t>ite</w:t>
            </w:r>
            <w:r w:rsidR="00841BDA" w:rsidRPr="00BD13FE">
              <w:rPr>
                <w:rFonts w:ascii="Times New Roman" w:eastAsia="Times New Roman" w:hAnsi="Times New Roman" w:cs="Arial"/>
                <w:sz w:val="24"/>
                <w:szCs w:val="24"/>
                <w:lang w:eastAsia="zh-CN"/>
              </w:rPr>
              <w:t>, spre consultare, structurilor asociative ale administrației publice locale.</w:t>
            </w:r>
          </w:p>
        </w:tc>
      </w:tr>
      <w:tr w:rsidR="00BD13FE" w:rsidRPr="00BD13FE" w:rsidTr="00CB7B7F">
        <w:trPr>
          <w:cantSplit/>
        </w:trPr>
        <w:tc>
          <w:tcPr>
            <w:tcW w:w="4372" w:type="dxa"/>
            <w:gridSpan w:val="4"/>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4. Consultările desfășurate în cadrul consiliilor interministeriale, în conformitate cu prevederile Hotărârii Guvernului nr. 750/2005 privind constituirea consiliilor interministeriale permanente</w:t>
            </w:r>
          </w:p>
          <w:p w:rsidR="007C3E34" w:rsidRPr="00BD13FE" w:rsidRDefault="007C3E34" w:rsidP="000849ED">
            <w:pPr>
              <w:contextualSpacing/>
              <w:jc w:val="both"/>
              <w:rPr>
                <w:rFonts w:ascii="Times New Roman" w:hAnsi="Times New Roman" w:cs="Times New Roman"/>
                <w:b/>
                <w:bCs/>
                <w:sz w:val="24"/>
                <w:szCs w:val="24"/>
              </w:rPr>
            </w:pPr>
          </w:p>
        </w:tc>
        <w:tc>
          <w:tcPr>
            <w:tcW w:w="5268" w:type="dxa"/>
            <w:gridSpan w:val="7"/>
            <w:tcBorders>
              <w:top w:val="single" w:sz="4" w:space="0" w:color="000000"/>
              <w:left w:val="single" w:sz="4" w:space="0" w:color="000000"/>
              <w:bottom w:val="single" w:sz="4" w:space="0" w:color="000000"/>
              <w:right w:val="single" w:sz="4" w:space="0" w:color="000000"/>
            </w:tcBorders>
            <w:hideMark/>
          </w:tcPr>
          <w:p w:rsidR="00E10817" w:rsidRPr="00BD13FE" w:rsidRDefault="00010B78" w:rsidP="000849ED">
            <w:pPr>
              <w:contextualSpacing/>
              <w:jc w:val="both"/>
              <w:rPr>
                <w:rFonts w:ascii="Times New Roman" w:hAnsi="Times New Roman" w:cs="Times New Roman"/>
                <w:sz w:val="24"/>
                <w:szCs w:val="24"/>
              </w:rPr>
            </w:pPr>
            <w:r w:rsidRPr="00BD13FE">
              <w:rPr>
                <w:rFonts w:ascii="Times New Roman" w:hAnsi="Times New Roman" w:cs="Times New Roman"/>
                <w:bCs/>
                <w:sz w:val="24"/>
                <w:szCs w:val="24"/>
              </w:rPr>
              <w:t>Nu este cazul</w:t>
            </w:r>
          </w:p>
        </w:tc>
      </w:tr>
      <w:tr w:rsidR="00BD13FE" w:rsidRPr="00BD13FE" w:rsidTr="00CB7B7F">
        <w:trPr>
          <w:cantSplit/>
        </w:trPr>
        <w:tc>
          <w:tcPr>
            <w:tcW w:w="4372" w:type="dxa"/>
            <w:gridSpan w:val="4"/>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Cs/>
                <w:sz w:val="24"/>
                <w:szCs w:val="24"/>
              </w:rPr>
            </w:pPr>
            <w:r w:rsidRPr="00BD13FE">
              <w:rPr>
                <w:rFonts w:ascii="Times New Roman" w:hAnsi="Times New Roman" w:cs="Times New Roman"/>
                <w:b/>
                <w:bCs/>
                <w:sz w:val="24"/>
                <w:szCs w:val="24"/>
              </w:rPr>
              <w:t>5. Informații privind avizarea de către:</w:t>
            </w:r>
          </w:p>
          <w:p w:rsidR="00E10817" w:rsidRPr="00BD13FE" w:rsidRDefault="00E10817" w:rsidP="000849ED">
            <w:pPr>
              <w:numPr>
                <w:ilvl w:val="0"/>
                <w:numId w:val="3"/>
              </w:numPr>
              <w:suppressAutoHyphens/>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Consiliul Legislativ</w:t>
            </w:r>
          </w:p>
          <w:p w:rsidR="00E10817" w:rsidRPr="00BD13FE" w:rsidRDefault="00E10817" w:rsidP="000849ED">
            <w:pPr>
              <w:numPr>
                <w:ilvl w:val="0"/>
                <w:numId w:val="3"/>
              </w:numPr>
              <w:suppressAutoHyphens/>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Consiliul Suprem de Apărare a Țării</w:t>
            </w:r>
          </w:p>
          <w:p w:rsidR="00E10817" w:rsidRPr="00BD13FE" w:rsidRDefault="00E10817" w:rsidP="000849ED">
            <w:pPr>
              <w:numPr>
                <w:ilvl w:val="0"/>
                <w:numId w:val="3"/>
              </w:numPr>
              <w:suppressAutoHyphens/>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Consiliul Economic și Social</w:t>
            </w:r>
          </w:p>
          <w:p w:rsidR="00E10817" w:rsidRPr="00BD13FE" w:rsidRDefault="00E10817" w:rsidP="000849ED">
            <w:pPr>
              <w:numPr>
                <w:ilvl w:val="0"/>
                <w:numId w:val="3"/>
              </w:numPr>
              <w:suppressAutoHyphens/>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Consiliul Concurenței</w:t>
            </w:r>
          </w:p>
          <w:p w:rsidR="00E10817" w:rsidRPr="00BD13FE" w:rsidRDefault="00E10817" w:rsidP="000849ED">
            <w:pPr>
              <w:numPr>
                <w:ilvl w:val="0"/>
                <w:numId w:val="3"/>
              </w:numPr>
              <w:suppressAutoHyphens/>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Curtea de Conturi</w:t>
            </w:r>
          </w:p>
        </w:tc>
        <w:tc>
          <w:tcPr>
            <w:tcW w:w="5268" w:type="dxa"/>
            <w:gridSpan w:val="7"/>
            <w:tcBorders>
              <w:top w:val="single" w:sz="4" w:space="0" w:color="000000"/>
              <w:left w:val="single" w:sz="4" w:space="0" w:color="000000"/>
              <w:bottom w:val="single" w:sz="4" w:space="0" w:color="000000"/>
              <w:right w:val="single" w:sz="4" w:space="0" w:color="000000"/>
            </w:tcBorders>
          </w:tcPr>
          <w:p w:rsidR="00010B78" w:rsidRPr="00BD13FE" w:rsidRDefault="00010B78" w:rsidP="00010B78">
            <w:pPr>
              <w:rPr>
                <w:rFonts w:ascii="Times New Roman" w:hAnsi="Times New Roman" w:cs="Times New Roman"/>
                <w:sz w:val="24"/>
                <w:szCs w:val="24"/>
                <w:lang w:val="fr-BE"/>
              </w:rPr>
            </w:pPr>
            <w:r w:rsidRPr="00BD13FE">
              <w:rPr>
                <w:rFonts w:ascii="Times New Roman" w:hAnsi="Times New Roman" w:cs="Times New Roman"/>
                <w:sz w:val="24"/>
                <w:szCs w:val="24"/>
              </w:rPr>
              <w:t xml:space="preserve">Proiectul de act normativ se avizează de către </w:t>
            </w:r>
            <w:r w:rsidRPr="00BD13FE">
              <w:rPr>
                <w:rFonts w:ascii="Times New Roman" w:hAnsi="Times New Roman" w:cs="Times New Roman"/>
                <w:bCs/>
                <w:sz w:val="24"/>
                <w:szCs w:val="24"/>
              </w:rPr>
              <w:t>Consiliul Legislativ.</w:t>
            </w:r>
          </w:p>
          <w:p w:rsidR="00010B78" w:rsidRPr="00BD13FE" w:rsidRDefault="00010B78" w:rsidP="00010B78">
            <w:pPr>
              <w:rPr>
                <w:rFonts w:ascii="Times New Roman" w:hAnsi="Times New Roman" w:cs="Times New Roman"/>
                <w:sz w:val="24"/>
                <w:szCs w:val="24"/>
              </w:rPr>
            </w:pPr>
            <w:r w:rsidRPr="00BD13FE">
              <w:rPr>
                <w:rFonts w:ascii="Times New Roman" w:hAnsi="Times New Roman" w:cs="Times New Roman"/>
                <w:sz w:val="24"/>
                <w:szCs w:val="24"/>
              </w:rPr>
              <w:t xml:space="preserve">Proiectul de act normativ se avizează de către </w:t>
            </w:r>
            <w:r w:rsidRPr="00BD13FE">
              <w:rPr>
                <w:rFonts w:ascii="Times New Roman" w:hAnsi="Times New Roman" w:cs="Times New Roman"/>
                <w:bCs/>
                <w:sz w:val="24"/>
                <w:szCs w:val="24"/>
              </w:rPr>
              <w:t>Consiliul Economic şi Social.</w:t>
            </w:r>
          </w:p>
          <w:p w:rsidR="00010B78" w:rsidRPr="00BD13FE" w:rsidRDefault="00010B78" w:rsidP="00010B78">
            <w:pPr>
              <w:rPr>
                <w:rFonts w:ascii="Times New Roman" w:hAnsi="Times New Roman" w:cs="Times New Roman"/>
                <w:sz w:val="24"/>
                <w:szCs w:val="24"/>
              </w:rPr>
            </w:pPr>
            <w:r w:rsidRPr="00BD13FE">
              <w:rPr>
                <w:rFonts w:ascii="Times New Roman" w:hAnsi="Times New Roman" w:cs="Times New Roman"/>
                <w:sz w:val="24"/>
                <w:szCs w:val="24"/>
              </w:rPr>
              <w:t>Proiectul de act normativ va fi supus avizului Consiliului Concurenței</w:t>
            </w:r>
          </w:p>
          <w:p w:rsidR="00E10817" w:rsidRPr="00BD13FE" w:rsidRDefault="00E10817" w:rsidP="00903AAF">
            <w:pPr>
              <w:contextualSpacing/>
              <w:jc w:val="both"/>
              <w:rPr>
                <w:rFonts w:ascii="Times New Roman" w:hAnsi="Times New Roman" w:cs="Times New Roman"/>
                <w:sz w:val="24"/>
                <w:szCs w:val="24"/>
              </w:rPr>
            </w:pPr>
          </w:p>
        </w:tc>
      </w:tr>
      <w:tr w:rsidR="00BD13FE" w:rsidRPr="00BD13FE" w:rsidTr="00CB7B7F">
        <w:trPr>
          <w:cantSplit/>
        </w:trPr>
        <w:tc>
          <w:tcPr>
            <w:tcW w:w="4372" w:type="dxa"/>
            <w:gridSpan w:val="4"/>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6. Alte informații</w:t>
            </w:r>
          </w:p>
          <w:p w:rsidR="007C3E34" w:rsidRPr="00BD13FE" w:rsidRDefault="007C3E34" w:rsidP="000849ED">
            <w:pPr>
              <w:contextualSpacing/>
              <w:jc w:val="both"/>
              <w:rPr>
                <w:rFonts w:ascii="Times New Roman" w:hAnsi="Times New Roman" w:cs="Times New Roman"/>
                <w:b/>
                <w:bCs/>
                <w:sz w:val="24"/>
                <w:szCs w:val="24"/>
              </w:rPr>
            </w:pPr>
          </w:p>
        </w:tc>
        <w:tc>
          <w:tcPr>
            <w:tcW w:w="5268" w:type="dxa"/>
            <w:gridSpan w:val="7"/>
            <w:tcBorders>
              <w:top w:val="single" w:sz="4" w:space="0" w:color="000000"/>
              <w:left w:val="single" w:sz="4" w:space="0" w:color="000000"/>
              <w:bottom w:val="single" w:sz="4" w:space="0" w:color="000000"/>
              <w:right w:val="single" w:sz="4" w:space="0" w:color="000000"/>
            </w:tcBorders>
            <w:hideMark/>
          </w:tcPr>
          <w:p w:rsidR="0069016A" w:rsidRPr="00BD13FE" w:rsidRDefault="00E10817"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Nu au fost identificate.</w:t>
            </w:r>
          </w:p>
        </w:tc>
      </w:tr>
      <w:tr w:rsidR="00BD13FE" w:rsidRPr="00BD13FE" w:rsidTr="00CB7B7F">
        <w:trPr>
          <w:cantSplit/>
        </w:trPr>
        <w:tc>
          <w:tcPr>
            <w:tcW w:w="9640" w:type="dxa"/>
            <w:gridSpan w:val="11"/>
            <w:tcBorders>
              <w:top w:val="single" w:sz="4" w:space="0" w:color="000000"/>
              <w:left w:val="single" w:sz="4" w:space="0" w:color="000000"/>
              <w:bottom w:val="single" w:sz="4" w:space="0" w:color="000000"/>
              <w:right w:val="single" w:sz="4" w:space="0" w:color="000000"/>
            </w:tcBorders>
            <w:hideMark/>
          </w:tcPr>
          <w:p w:rsidR="007C3E34" w:rsidRPr="00BD13FE" w:rsidRDefault="007C3E34" w:rsidP="0069016A">
            <w:pPr>
              <w:pStyle w:val="Heading2"/>
              <w:numPr>
                <w:ilvl w:val="0"/>
                <w:numId w:val="0"/>
              </w:numPr>
              <w:spacing w:before="0" w:after="0"/>
              <w:ind w:left="576"/>
              <w:contextualSpacing/>
              <w:jc w:val="center"/>
              <w:rPr>
                <w:rFonts w:ascii="Times New Roman" w:hAnsi="Times New Roman"/>
                <w:i w:val="0"/>
                <w:sz w:val="24"/>
                <w:szCs w:val="24"/>
              </w:rPr>
            </w:pPr>
          </w:p>
          <w:p w:rsidR="00E10817" w:rsidRPr="00BD13FE" w:rsidRDefault="00E10817" w:rsidP="000849ED">
            <w:pPr>
              <w:pStyle w:val="Heading2"/>
              <w:spacing w:before="0" w:after="0"/>
              <w:contextualSpacing/>
              <w:jc w:val="center"/>
              <w:rPr>
                <w:rFonts w:ascii="Times New Roman" w:hAnsi="Times New Roman"/>
                <w:i w:val="0"/>
                <w:sz w:val="24"/>
                <w:szCs w:val="24"/>
              </w:rPr>
            </w:pPr>
            <w:r w:rsidRPr="00BD13FE">
              <w:rPr>
                <w:rFonts w:ascii="Times New Roman" w:hAnsi="Times New Roman"/>
                <w:bCs w:val="0"/>
                <w:i w:val="0"/>
                <w:sz w:val="24"/>
                <w:szCs w:val="24"/>
              </w:rPr>
              <w:t>Secțiunea a 7-a</w:t>
            </w:r>
          </w:p>
          <w:p w:rsidR="00E10817" w:rsidRPr="00BD13FE" w:rsidRDefault="00E10817" w:rsidP="000849ED">
            <w:pPr>
              <w:contextualSpacing/>
              <w:jc w:val="center"/>
              <w:rPr>
                <w:rFonts w:ascii="Times New Roman" w:hAnsi="Times New Roman" w:cs="Times New Roman"/>
                <w:b/>
                <w:bCs/>
                <w:sz w:val="24"/>
                <w:szCs w:val="24"/>
              </w:rPr>
            </w:pPr>
            <w:r w:rsidRPr="00BD13FE">
              <w:rPr>
                <w:rFonts w:ascii="Times New Roman" w:hAnsi="Times New Roman" w:cs="Times New Roman"/>
                <w:b/>
                <w:bCs/>
                <w:sz w:val="24"/>
                <w:szCs w:val="24"/>
              </w:rPr>
              <w:t>Activități de informare publică privind elaborarea</w:t>
            </w:r>
          </w:p>
          <w:p w:rsidR="00E10817" w:rsidRPr="00BD13FE" w:rsidRDefault="00E10817" w:rsidP="000849ED">
            <w:pPr>
              <w:contextualSpacing/>
              <w:jc w:val="center"/>
              <w:rPr>
                <w:rFonts w:ascii="Times New Roman" w:hAnsi="Times New Roman" w:cs="Times New Roman"/>
                <w:b/>
                <w:bCs/>
                <w:sz w:val="24"/>
                <w:szCs w:val="24"/>
              </w:rPr>
            </w:pPr>
            <w:r w:rsidRPr="00BD13FE">
              <w:rPr>
                <w:rFonts w:ascii="Times New Roman" w:hAnsi="Times New Roman" w:cs="Times New Roman"/>
                <w:b/>
                <w:bCs/>
                <w:sz w:val="24"/>
                <w:szCs w:val="24"/>
              </w:rPr>
              <w:t>și implementarea prezentului act normativ</w:t>
            </w:r>
          </w:p>
          <w:p w:rsidR="007C3E34" w:rsidRPr="00BD13FE" w:rsidRDefault="007C3E34" w:rsidP="000849ED">
            <w:pPr>
              <w:contextualSpacing/>
              <w:jc w:val="center"/>
              <w:rPr>
                <w:rFonts w:ascii="Times New Roman" w:hAnsi="Times New Roman" w:cs="Times New Roman"/>
                <w:b/>
                <w:bCs/>
                <w:sz w:val="24"/>
                <w:szCs w:val="24"/>
              </w:rPr>
            </w:pPr>
          </w:p>
        </w:tc>
      </w:tr>
      <w:tr w:rsidR="00BD13FE" w:rsidRPr="00BD13FE" w:rsidTr="00CB7B7F">
        <w:trPr>
          <w:cantSplit/>
        </w:trPr>
        <w:tc>
          <w:tcPr>
            <w:tcW w:w="4678" w:type="dxa"/>
            <w:gridSpan w:val="5"/>
            <w:tcBorders>
              <w:top w:val="single" w:sz="4" w:space="0" w:color="000000"/>
              <w:left w:val="single" w:sz="4" w:space="0" w:color="000000"/>
              <w:bottom w:val="single" w:sz="4" w:space="0" w:color="000000"/>
              <w:right w:val="nil"/>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1.Informarea societății civile cu privire la necesitatea elaborării actului normativ</w:t>
            </w:r>
          </w:p>
        </w:tc>
        <w:tc>
          <w:tcPr>
            <w:tcW w:w="4962" w:type="dxa"/>
            <w:gridSpan w:val="6"/>
            <w:tcBorders>
              <w:top w:val="single" w:sz="4" w:space="0" w:color="000000"/>
              <w:left w:val="single" w:sz="4" w:space="0" w:color="000000"/>
              <w:bottom w:val="single" w:sz="4" w:space="0" w:color="000000"/>
              <w:right w:val="single" w:sz="4" w:space="0" w:color="000000"/>
            </w:tcBorders>
          </w:tcPr>
          <w:p w:rsidR="00010B78" w:rsidRPr="00BD13FE" w:rsidRDefault="00010B78" w:rsidP="00010B78">
            <w:pPr>
              <w:autoSpaceDE w:val="0"/>
              <w:jc w:val="both"/>
              <w:rPr>
                <w:rFonts w:ascii="Times New Roman" w:hAnsi="Times New Roman" w:cs="Times New Roman"/>
                <w:bCs/>
                <w:sz w:val="24"/>
                <w:szCs w:val="24"/>
              </w:rPr>
            </w:pPr>
            <w:r w:rsidRPr="00BD13FE">
              <w:rPr>
                <w:rFonts w:ascii="Times New Roman" w:hAnsi="Times New Roman" w:cs="Times New Roman"/>
                <w:bCs/>
                <w:sz w:val="24"/>
                <w:szCs w:val="24"/>
              </w:rPr>
              <w:t xml:space="preserve">Proiectul de act normativ se publică pe site-ul Ministerului Finanţelor Publice potrivit dispozițiilor Legii nr. 52/2003 </w:t>
            </w:r>
            <w:r w:rsidRPr="00BD13FE">
              <w:rPr>
                <w:rFonts w:ascii="Times New Roman" w:hAnsi="Times New Roman" w:cs="Times New Roman"/>
                <w:bCs/>
                <w:sz w:val="24"/>
                <w:szCs w:val="24"/>
                <w:lang w:eastAsia="ro-RO"/>
              </w:rPr>
              <w:t>privind transparenţa decizională în administraţia publică, republicată</w:t>
            </w:r>
            <w:r w:rsidRPr="00BD13FE">
              <w:rPr>
                <w:rFonts w:ascii="Times New Roman" w:hAnsi="Times New Roman" w:cs="Times New Roman"/>
                <w:bCs/>
                <w:sz w:val="24"/>
                <w:szCs w:val="24"/>
              </w:rPr>
              <w:t xml:space="preserve"> şi se dezbate în cadrul Comisiei de Dialog Social la care participă reprezentanţi ai organismelor interesate.</w:t>
            </w:r>
          </w:p>
          <w:p w:rsidR="00E10817" w:rsidRPr="00BD13FE" w:rsidRDefault="00E10817" w:rsidP="000849ED">
            <w:pPr>
              <w:contextualSpacing/>
              <w:jc w:val="both"/>
              <w:rPr>
                <w:rFonts w:ascii="Times New Roman" w:hAnsi="Times New Roman" w:cs="Times New Roman"/>
                <w:bCs/>
                <w:sz w:val="24"/>
                <w:szCs w:val="24"/>
              </w:rPr>
            </w:pPr>
          </w:p>
        </w:tc>
      </w:tr>
      <w:tr w:rsidR="00BD13FE" w:rsidRPr="00BD13FE" w:rsidTr="00CB7B7F">
        <w:trPr>
          <w:cantSplit/>
        </w:trPr>
        <w:tc>
          <w:tcPr>
            <w:tcW w:w="4678" w:type="dxa"/>
            <w:gridSpan w:val="5"/>
            <w:tcBorders>
              <w:top w:val="single" w:sz="4" w:space="0" w:color="000000"/>
              <w:left w:val="single" w:sz="4" w:space="0" w:color="000000"/>
              <w:bottom w:val="single" w:sz="4" w:space="0" w:color="auto"/>
              <w:right w:val="nil"/>
            </w:tcBorders>
            <w:hideMark/>
          </w:tcPr>
          <w:p w:rsidR="007C3E34"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2.Informarea societății civile cu privire la eventualul impact asupra mediului în urma implementării actului normativ, precum și efectele asupra sănătății și securității cetățenilor sau diversității biologice</w:t>
            </w:r>
          </w:p>
        </w:tc>
        <w:tc>
          <w:tcPr>
            <w:tcW w:w="4962" w:type="dxa"/>
            <w:gridSpan w:val="6"/>
            <w:tcBorders>
              <w:top w:val="single" w:sz="4" w:space="0" w:color="000000"/>
              <w:left w:val="single" w:sz="4" w:space="0" w:color="000000"/>
              <w:bottom w:val="single" w:sz="4" w:space="0" w:color="auto"/>
              <w:right w:val="single" w:sz="4" w:space="0" w:color="000000"/>
            </w:tcBorders>
            <w:hideMark/>
          </w:tcPr>
          <w:p w:rsidR="00E10817" w:rsidRPr="00BD13FE" w:rsidRDefault="00010B78" w:rsidP="000849ED">
            <w:pPr>
              <w:contextualSpacing/>
              <w:jc w:val="both"/>
              <w:rPr>
                <w:rFonts w:ascii="Times New Roman" w:hAnsi="Times New Roman" w:cs="Times New Roman"/>
                <w:sz w:val="24"/>
                <w:szCs w:val="24"/>
              </w:rPr>
            </w:pPr>
            <w:r w:rsidRPr="00BD13FE">
              <w:rPr>
                <w:rFonts w:ascii="Times New Roman" w:hAnsi="Times New Roman" w:cs="Times New Roman"/>
                <w:bCs/>
                <w:sz w:val="24"/>
                <w:szCs w:val="24"/>
              </w:rPr>
              <w:t>Nu este cazul</w:t>
            </w:r>
          </w:p>
        </w:tc>
      </w:tr>
      <w:tr w:rsidR="00BD13FE" w:rsidRPr="00BD13FE" w:rsidTr="00CB7B7F">
        <w:trPr>
          <w:cantSplit/>
        </w:trPr>
        <w:tc>
          <w:tcPr>
            <w:tcW w:w="4678" w:type="dxa"/>
            <w:gridSpan w:val="5"/>
            <w:tcBorders>
              <w:top w:val="single" w:sz="4" w:space="0" w:color="auto"/>
              <w:left w:val="single" w:sz="4" w:space="0" w:color="auto"/>
              <w:right w:val="single" w:sz="4" w:space="0" w:color="auto"/>
            </w:tcBorders>
            <w:hideMark/>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3.Alte informații</w:t>
            </w:r>
          </w:p>
        </w:tc>
        <w:tc>
          <w:tcPr>
            <w:tcW w:w="4962" w:type="dxa"/>
            <w:gridSpan w:val="6"/>
            <w:tcBorders>
              <w:top w:val="single" w:sz="4" w:space="0" w:color="auto"/>
              <w:left w:val="single" w:sz="4" w:space="0" w:color="auto"/>
              <w:right w:val="single" w:sz="4" w:space="0" w:color="auto"/>
            </w:tcBorders>
            <w:hideMark/>
          </w:tcPr>
          <w:p w:rsidR="00E10817" w:rsidRPr="00BD13FE" w:rsidRDefault="00010B78" w:rsidP="000849ED">
            <w:pPr>
              <w:contextualSpacing/>
              <w:jc w:val="both"/>
              <w:rPr>
                <w:rFonts w:ascii="Times New Roman" w:hAnsi="Times New Roman" w:cs="Times New Roman"/>
                <w:bCs/>
                <w:sz w:val="24"/>
                <w:szCs w:val="24"/>
              </w:rPr>
            </w:pPr>
            <w:r w:rsidRPr="00BD13FE">
              <w:rPr>
                <w:rFonts w:ascii="Times New Roman" w:hAnsi="Times New Roman" w:cs="Times New Roman"/>
                <w:bCs/>
                <w:sz w:val="24"/>
                <w:szCs w:val="24"/>
              </w:rPr>
              <w:t>Nu este cazul</w:t>
            </w:r>
          </w:p>
        </w:tc>
      </w:tr>
      <w:tr w:rsidR="00BD13FE" w:rsidRPr="00BD13FE" w:rsidTr="00CB7B7F">
        <w:trPr>
          <w:cantSplit/>
          <w:trHeight w:val="153"/>
        </w:trPr>
        <w:tc>
          <w:tcPr>
            <w:tcW w:w="4678" w:type="dxa"/>
            <w:gridSpan w:val="5"/>
            <w:tcBorders>
              <w:left w:val="single" w:sz="4" w:space="0" w:color="auto"/>
              <w:bottom w:val="single" w:sz="4" w:space="0" w:color="auto"/>
              <w:right w:val="single" w:sz="4" w:space="0" w:color="auto"/>
            </w:tcBorders>
          </w:tcPr>
          <w:p w:rsidR="007C3E34" w:rsidRPr="00BD13FE" w:rsidRDefault="007C3E34" w:rsidP="000849ED">
            <w:pPr>
              <w:contextualSpacing/>
              <w:jc w:val="both"/>
              <w:rPr>
                <w:rFonts w:ascii="Times New Roman" w:hAnsi="Times New Roman" w:cs="Times New Roman"/>
                <w:b/>
                <w:bCs/>
                <w:sz w:val="24"/>
                <w:szCs w:val="24"/>
              </w:rPr>
            </w:pPr>
          </w:p>
        </w:tc>
        <w:tc>
          <w:tcPr>
            <w:tcW w:w="4962" w:type="dxa"/>
            <w:gridSpan w:val="6"/>
            <w:tcBorders>
              <w:left w:val="single" w:sz="4" w:space="0" w:color="auto"/>
              <w:bottom w:val="single" w:sz="4" w:space="0" w:color="auto"/>
              <w:right w:val="single" w:sz="4" w:space="0" w:color="auto"/>
            </w:tcBorders>
          </w:tcPr>
          <w:p w:rsidR="00D52B86" w:rsidRPr="00BD13FE" w:rsidRDefault="00D52B86" w:rsidP="000849ED">
            <w:pPr>
              <w:contextualSpacing/>
              <w:jc w:val="both"/>
              <w:rPr>
                <w:rFonts w:ascii="Times New Roman" w:hAnsi="Times New Roman" w:cs="Times New Roman"/>
                <w:bCs/>
                <w:sz w:val="24"/>
                <w:szCs w:val="24"/>
              </w:rPr>
            </w:pPr>
          </w:p>
        </w:tc>
      </w:tr>
      <w:tr w:rsidR="00BD13FE" w:rsidRPr="00BD13FE" w:rsidTr="00CB7B7F">
        <w:trPr>
          <w:cantSplit/>
        </w:trPr>
        <w:tc>
          <w:tcPr>
            <w:tcW w:w="9640" w:type="dxa"/>
            <w:gridSpan w:val="11"/>
            <w:tcBorders>
              <w:top w:val="single" w:sz="4" w:space="0" w:color="auto"/>
              <w:left w:val="single" w:sz="4" w:space="0" w:color="auto"/>
              <w:bottom w:val="single" w:sz="4" w:space="0" w:color="000000"/>
              <w:right w:val="single" w:sz="4" w:space="0" w:color="auto"/>
            </w:tcBorders>
            <w:hideMark/>
          </w:tcPr>
          <w:p w:rsidR="00E10817" w:rsidRPr="00BD13FE" w:rsidRDefault="00E10817" w:rsidP="000849ED">
            <w:pPr>
              <w:contextualSpacing/>
              <w:jc w:val="center"/>
              <w:rPr>
                <w:rFonts w:ascii="Times New Roman" w:hAnsi="Times New Roman" w:cs="Times New Roman"/>
                <w:b/>
                <w:sz w:val="24"/>
                <w:szCs w:val="24"/>
              </w:rPr>
            </w:pPr>
            <w:r w:rsidRPr="00BD13FE">
              <w:rPr>
                <w:rFonts w:ascii="Times New Roman" w:hAnsi="Times New Roman" w:cs="Times New Roman"/>
                <w:b/>
                <w:sz w:val="24"/>
                <w:szCs w:val="24"/>
              </w:rPr>
              <w:lastRenderedPageBreak/>
              <w:t>Secțiunea a 8-a</w:t>
            </w:r>
          </w:p>
          <w:p w:rsidR="00E10817" w:rsidRPr="00BD13FE" w:rsidRDefault="00E10817" w:rsidP="000849ED">
            <w:pPr>
              <w:contextualSpacing/>
              <w:jc w:val="center"/>
              <w:rPr>
                <w:rFonts w:ascii="Times New Roman" w:hAnsi="Times New Roman" w:cs="Times New Roman"/>
                <w:b/>
                <w:sz w:val="24"/>
                <w:szCs w:val="24"/>
              </w:rPr>
            </w:pPr>
            <w:r w:rsidRPr="00BD13FE">
              <w:rPr>
                <w:rFonts w:ascii="Times New Roman" w:hAnsi="Times New Roman" w:cs="Times New Roman"/>
                <w:b/>
                <w:sz w:val="24"/>
                <w:szCs w:val="24"/>
              </w:rPr>
              <w:t>Măsuri de implementare</w:t>
            </w:r>
          </w:p>
        </w:tc>
      </w:tr>
      <w:tr w:rsidR="00BD13FE" w:rsidRPr="00BD13FE" w:rsidTr="00CB7B7F">
        <w:trPr>
          <w:cantSplit/>
        </w:trPr>
        <w:tc>
          <w:tcPr>
            <w:tcW w:w="4678" w:type="dxa"/>
            <w:gridSpan w:val="5"/>
            <w:tcBorders>
              <w:top w:val="single" w:sz="4" w:space="0" w:color="000000"/>
              <w:left w:val="single" w:sz="4" w:space="0" w:color="auto"/>
              <w:bottom w:val="single" w:sz="4" w:space="0" w:color="auto"/>
              <w:right w:val="nil"/>
            </w:tcBorders>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1. Măsurile de punere în aplicare a actului normativ de către autoritățile administrației publice centrale și/sau locale – înființarea unor noi organisme sau extinderea competențelor instituțiilor existente</w:t>
            </w:r>
          </w:p>
        </w:tc>
        <w:tc>
          <w:tcPr>
            <w:tcW w:w="4962" w:type="dxa"/>
            <w:gridSpan w:val="6"/>
            <w:tcBorders>
              <w:top w:val="single" w:sz="4" w:space="0" w:color="000000"/>
              <w:left w:val="single" w:sz="4" w:space="0" w:color="000000"/>
              <w:bottom w:val="single" w:sz="4" w:space="0" w:color="auto"/>
              <w:right w:val="single" w:sz="4" w:space="0" w:color="auto"/>
            </w:tcBorders>
          </w:tcPr>
          <w:p w:rsidR="00E10817" w:rsidRPr="00BD13FE" w:rsidRDefault="00010B78" w:rsidP="000849ED">
            <w:pPr>
              <w:snapToGrid w:val="0"/>
              <w:contextualSpacing/>
              <w:jc w:val="both"/>
              <w:rPr>
                <w:rFonts w:ascii="Times New Roman" w:hAnsi="Times New Roman" w:cs="Times New Roman"/>
                <w:sz w:val="24"/>
                <w:szCs w:val="24"/>
              </w:rPr>
            </w:pPr>
            <w:r w:rsidRPr="00BD13FE">
              <w:rPr>
                <w:rFonts w:ascii="Times New Roman" w:hAnsi="Times New Roman" w:cs="Times New Roman"/>
                <w:bCs/>
                <w:sz w:val="24"/>
                <w:szCs w:val="24"/>
              </w:rPr>
              <w:t>Nu este cazul</w:t>
            </w:r>
          </w:p>
        </w:tc>
      </w:tr>
      <w:tr w:rsidR="00BD13FE" w:rsidRPr="00BD13FE" w:rsidTr="00CB7B7F">
        <w:trPr>
          <w:cantSplit/>
        </w:trPr>
        <w:tc>
          <w:tcPr>
            <w:tcW w:w="4678" w:type="dxa"/>
            <w:gridSpan w:val="5"/>
            <w:tcBorders>
              <w:top w:val="single" w:sz="4" w:space="0" w:color="auto"/>
              <w:left w:val="single" w:sz="4" w:space="0" w:color="000000"/>
              <w:bottom w:val="single" w:sz="4" w:space="0" w:color="000000"/>
              <w:right w:val="nil"/>
            </w:tcBorders>
          </w:tcPr>
          <w:p w:rsidR="00E10817" w:rsidRPr="00BD13FE" w:rsidRDefault="00E10817" w:rsidP="000849ED">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2.Alte informații</w:t>
            </w:r>
          </w:p>
        </w:tc>
        <w:tc>
          <w:tcPr>
            <w:tcW w:w="4962" w:type="dxa"/>
            <w:gridSpan w:val="6"/>
            <w:tcBorders>
              <w:top w:val="single" w:sz="4" w:space="0" w:color="auto"/>
              <w:left w:val="single" w:sz="4" w:space="0" w:color="000000"/>
              <w:bottom w:val="single" w:sz="4" w:space="0" w:color="000000"/>
              <w:right w:val="single" w:sz="4" w:space="0" w:color="000000"/>
            </w:tcBorders>
          </w:tcPr>
          <w:p w:rsidR="00E10817" w:rsidRPr="00BD13FE" w:rsidRDefault="00010B78" w:rsidP="000849ED">
            <w:pPr>
              <w:snapToGrid w:val="0"/>
              <w:contextualSpacing/>
              <w:jc w:val="both"/>
              <w:rPr>
                <w:rFonts w:ascii="Times New Roman" w:hAnsi="Times New Roman" w:cs="Times New Roman"/>
                <w:sz w:val="24"/>
                <w:szCs w:val="24"/>
              </w:rPr>
            </w:pPr>
            <w:r w:rsidRPr="00BD13FE">
              <w:rPr>
                <w:rFonts w:ascii="Times New Roman" w:hAnsi="Times New Roman" w:cs="Times New Roman"/>
                <w:bCs/>
                <w:sz w:val="24"/>
                <w:szCs w:val="24"/>
              </w:rPr>
              <w:t>Nu este cazul</w:t>
            </w:r>
          </w:p>
        </w:tc>
      </w:tr>
    </w:tbl>
    <w:p w:rsidR="00E10817" w:rsidRPr="00BD13FE" w:rsidRDefault="00E10817" w:rsidP="00E10817">
      <w:pPr>
        <w:ind w:left="-450" w:right="-306"/>
        <w:contextualSpacing/>
        <w:jc w:val="both"/>
        <w:rPr>
          <w:rFonts w:ascii="Times New Roman" w:eastAsia="Calibri" w:hAnsi="Times New Roman" w:cs="Times New Roman"/>
          <w:sz w:val="24"/>
          <w:szCs w:val="24"/>
        </w:rPr>
      </w:pPr>
    </w:p>
    <w:p w:rsidR="00783655" w:rsidRPr="00783655" w:rsidRDefault="001011B6" w:rsidP="00783655">
      <w:pPr>
        <w:autoSpaceDE w:val="0"/>
        <w:autoSpaceDN w:val="0"/>
        <w:adjustRightInd w:val="0"/>
        <w:ind w:firstLine="708"/>
        <w:jc w:val="both"/>
        <w:rPr>
          <w:rFonts w:ascii="Times New Roman" w:hAnsi="Times New Roman" w:cs="Times New Roman"/>
          <w:sz w:val="24"/>
          <w:szCs w:val="24"/>
        </w:rPr>
      </w:pPr>
      <w:r w:rsidRPr="00BD13FE">
        <w:rPr>
          <w:rFonts w:ascii="Times New Roman" w:hAnsi="Times New Roman" w:cs="Times New Roman"/>
          <w:sz w:val="24"/>
          <w:szCs w:val="24"/>
        </w:rPr>
        <w:t xml:space="preserve">Față de cele prezentate, a fost promovată prezenta </w:t>
      </w:r>
      <w:r w:rsidR="00783655" w:rsidRPr="00783655">
        <w:rPr>
          <w:rFonts w:ascii="Times New Roman" w:hAnsi="Times New Roman" w:cs="Times New Roman"/>
          <w:sz w:val="24"/>
          <w:szCs w:val="24"/>
        </w:rPr>
        <w:t>prezenta Or</w:t>
      </w:r>
      <w:r w:rsidR="00783655">
        <w:rPr>
          <w:rFonts w:ascii="Times New Roman" w:hAnsi="Times New Roman" w:cs="Times New Roman"/>
          <w:sz w:val="24"/>
          <w:szCs w:val="24"/>
        </w:rPr>
        <w:t xml:space="preserve">donanța de urgență a Guvernului </w:t>
      </w:r>
      <w:r w:rsidR="00783655" w:rsidRPr="00783655">
        <w:rPr>
          <w:rFonts w:ascii="Times New Roman" w:hAnsi="Times New Roman" w:cs="Times New Roman"/>
          <w:sz w:val="24"/>
          <w:szCs w:val="24"/>
        </w:rPr>
        <w:t>privind unele măsuri fiscal – bugetare și pentru modificarea unor acte normative.</w:t>
      </w:r>
    </w:p>
    <w:p w:rsidR="001011B6" w:rsidRPr="00BD13FE" w:rsidRDefault="001011B6" w:rsidP="00783655">
      <w:pPr>
        <w:autoSpaceDE w:val="0"/>
        <w:autoSpaceDN w:val="0"/>
        <w:adjustRightInd w:val="0"/>
        <w:ind w:firstLine="708"/>
        <w:jc w:val="both"/>
        <w:rPr>
          <w:rFonts w:ascii="Times New Roman" w:hAnsi="Times New Roman" w:cs="Times New Roman"/>
          <w:sz w:val="24"/>
          <w:szCs w:val="24"/>
        </w:rPr>
      </w:pP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7"/>
      </w:tblGrid>
      <w:tr w:rsidR="00BD13FE" w:rsidRPr="00BD13FE" w:rsidTr="00A13DA2">
        <w:tc>
          <w:tcPr>
            <w:tcW w:w="4673" w:type="dxa"/>
          </w:tcPr>
          <w:p w:rsidR="00E662D7" w:rsidRPr="00BD13FE" w:rsidRDefault="00653BA0" w:rsidP="00E662D7">
            <w:pPr>
              <w:contextualSpacing/>
              <w:jc w:val="center"/>
              <w:rPr>
                <w:rFonts w:ascii="Times New Roman" w:hAnsi="Times New Roman" w:cs="Times New Roman"/>
                <w:b/>
                <w:noProof/>
                <w:sz w:val="24"/>
                <w:szCs w:val="24"/>
              </w:rPr>
            </w:pPr>
            <w:r w:rsidRPr="00BD13FE">
              <w:rPr>
                <w:rFonts w:ascii="Times New Roman" w:hAnsi="Times New Roman" w:cs="Times New Roman"/>
                <w:b/>
                <w:noProof/>
                <w:sz w:val="24"/>
                <w:szCs w:val="24"/>
              </w:rPr>
              <w:t xml:space="preserve">VICEPRIM-MINISTRU, </w:t>
            </w:r>
          </w:p>
          <w:p w:rsidR="00E662D7" w:rsidRPr="00BD13FE" w:rsidRDefault="00653BA0" w:rsidP="00E662D7">
            <w:pPr>
              <w:contextualSpacing/>
              <w:jc w:val="center"/>
              <w:rPr>
                <w:rFonts w:ascii="Times New Roman" w:hAnsi="Times New Roman" w:cs="Times New Roman"/>
                <w:b/>
                <w:noProof/>
                <w:sz w:val="24"/>
                <w:szCs w:val="24"/>
              </w:rPr>
            </w:pPr>
            <w:r w:rsidRPr="00BD13FE">
              <w:rPr>
                <w:rFonts w:ascii="Times New Roman" w:hAnsi="Times New Roman" w:cs="Times New Roman"/>
                <w:b/>
                <w:noProof/>
                <w:sz w:val="24"/>
                <w:szCs w:val="24"/>
              </w:rPr>
              <w:t>MINISTRUL DEZVOLTĂRII REGIONALE ȘI ADMINISTRAȚIEI PUBLICE</w:t>
            </w:r>
          </w:p>
          <w:p w:rsidR="000B126D" w:rsidRPr="00BD13FE" w:rsidRDefault="000B126D" w:rsidP="000B126D">
            <w:pPr>
              <w:spacing w:line="360" w:lineRule="auto"/>
              <w:jc w:val="center"/>
              <w:rPr>
                <w:rFonts w:ascii="Times New Roman" w:hAnsi="Times New Roman" w:cs="Times New Roman"/>
                <w:b/>
                <w:noProof/>
                <w:sz w:val="24"/>
                <w:szCs w:val="24"/>
              </w:rPr>
            </w:pPr>
          </w:p>
          <w:p w:rsidR="000B126D" w:rsidRPr="00BD13FE" w:rsidRDefault="000B126D" w:rsidP="000B126D">
            <w:pPr>
              <w:spacing w:line="360" w:lineRule="auto"/>
              <w:jc w:val="center"/>
              <w:rPr>
                <w:rFonts w:ascii="Times New Roman" w:hAnsi="Times New Roman" w:cs="Times New Roman"/>
                <w:b/>
                <w:noProof/>
                <w:sz w:val="24"/>
                <w:szCs w:val="24"/>
              </w:rPr>
            </w:pPr>
            <w:r w:rsidRPr="00BD13FE">
              <w:rPr>
                <w:rFonts w:ascii="Times New Roman" w:hAnsi="Times New Roman" w:cs="Times New Roman"/>
                <w:b/>
                <w:noProof/>
                <w:sz w:val="24"/>
                <w:szCs w:val="24"/>
              </w:rPr>
              <w:t>Paul S</w:t>
            </w:r>
            <w:r w:rsidR="003F26EB" w:rsidRPr="00BD13FE">
              <w:rPr>
                <w:rFonts w:ascii="Times New Roman" w:hAnsi="Times New Roman" w:cs="Times New Roman"/>
                <w:b/>
                <w:noProof/>
                <w:sz w:val="24"/>
                <w:szCs w:val="24"/>
              </w:rPr>
              <w:t>TĂNESCU</w:t>
            </w:r>
          </w:p>
        </w:tc>
        <w:tc>
          <w:tcPr>
            <w:tcW w:w="4967" w:type="dxa"/>
          </w:tcPr>
          <w:p w:rsidR="000B126D" w:rsidRPr="00BD13FE" w:rsidRDefault="000B126D" w:rsidP="000B126D">
            <w:pPr>
              <w:contextualSpacing/>
              <w:jc w:val="center"/>
              <w:rPr>
                <w:rFonts w:ascii="Times New Roman" w:hAnsi="Times New Roman" w:cs="Times New Roman"/>
                <w:noProof/>
                <w:sz w:val="24"/>
                <w:szCs w:val="24"/>
              </w:rPr>
            </w:pPr>
          </w:p>
          <w:p w:rsidR="000B126D" w:rsidRPr="00BD13FE" w:rsidRDefault="00653BA0" w:rsidP="000B126D">
            <w:pPr>
              <w:contextualSpacing/>
              <w:jc w:val="center"/>
              <w:rPr>
                <w:rFonts w:ascii="Times New Roman" w:hAnsi="Times New Roman" w:cs="Times New Roman"/>
                <w:b/>
                <w:bCs/>
                <w:noProof/>
                <w:sz w:val="24"/>
                <w:szCs w:val="24"/>
              </w:rPr>
            </w:pPr>
            <w:r w:rsidRPr="00BD13FE">
              <w:rPr>
                <w:rFonts w:ascii="Times New Roman" w:hAnsi="Times New Roman" w:cs="Times New Roman"/>
                <w:b/>
                <w:noProof/>
                <w:sz w:val="24"/>
                <w:szCs w:val="24"/>
              </w:rPr>
              <w:t>MINISTRUL FINANȚELOR PUBLICE</w:t>
            </w:r>
          </w:p>
          <w:p w:rsidR="000B126D" w:rsidRPr="00BD13FE" w:rsidRDefault="000B126D" w:rsidP="00E662D7">
            <w:pPr>
              <w:spacing w:line="360" w:lineRule="auto"/>
              <w:jc w:val="center"/>
              <w:rPr>
                <w:rFonts w:ascii="Times New Roman" w:hAnsi="Times New Roman" w:cs="Times New Roman"/>
                <w:b/>
                <w:bCs/>
                <w:noProof/>
                <w:sz w:val="24"/>
                <w:szCs w:val="24"/>
              </w:rPr>
            </w:pPr>
          </w:p>
          <w:p w:rsidR="00E662D7" w:rsidRPr="00BD13FE" w:rsidRDefault="000B126D" w:rsidP="000B126D">
            <w:pPr>
              <w:spacing w:line="360" w:lineRule="auto"/>
              <w:rPr>
                <w:rFonts w:ascii="Times New Roman" w:hAnsi="Times New Roman" w:cs="Times New Roman"/>
                <w:b/>
                <w:sz w:val="24"/>
                <w:szCs w:val="24"/>
              </w:rPr>
            </w:pPr>
            <w:r w:rsidRPr="00BD13FE">
              <w:rPr>
                <w:rFonts w:ascii="Times New Roman" w:hAnsi="Times New Roman" w:cs="Times New Roman"/>
                <w:b/>
                <w:bCs/>
                <w:noProof/>
                <w:sz w:val="24"/>
                <w:szCs w:val="24"/>
              </w:rPr>
              <w:t xml:space="preserve">        </w:t>
            </w:r>
            <w:r w:rsidR="00010B78" w:rsidRPr="00BD13FE">
              <w:rPr>
                <w:rFonts w:ascii="Times New Roman" w:hAnsi="Times New Roman" w:cs="Times New Roman"/>
                <w:b/>
                <w:bCs/>
                <w:noProof/>
                <w:sz w:val="24"/>
                <w:szCs w:val="24"/>
              </w:rPr>
              <w:t xml:space="preserve">     </w:t>
            </w:r>
            <w:r w:rsidR="00E662D7" w:rsidRPr="00BD13FE">
              <w:rPr>
                <w:rFonts w:ascii="Times New Roman" w:hAnsi="Times New Roman" w:cs="Times New Roman"/>
                <w:b/>
                <w:bCs/>
                <w:noProof/>
                <w:sz w:val="24"/>
                <w:szCs w:val="24"/>
              </w:rPr>
              <w:t>Eugen Orlando T</w:t>
            </w:r>
            <w:r w:rsidR="003F26EB" w:rsidRPr="00BD13FE">
              <w:rPr>
                <w:rFonts w:ascii="Times New Roman" w:hAnsi="Times New Roman" w:cs="Times New Roman"/>
                <w:b/>
                <w:bCs/>
                <w:noProof/>
                <w:sz w:val="24"/>
                <w:szCs w:val="24"/>
              </w:rPr>
              <w:t>EODOROVICI</w:t>
            </w:r>
          </w:p>
          <w:p w:rsidR="003336CC" w:rsidRPr="00BD13FE" w:rsidRDefault="003336CC" w:rsidP="00E662D7">
            <w:pPr>
              <w:contextualSpacing/>
              <w:jc w:val="center"/>
              <w:rPr>
                <w:rFonts w:ascii="Times New Roman" w:hAnsi="Times New Roman" w:cs="Times New Roman"/>
                <w:sz w:val="24"/>
                <w:szCs w:val="24"/>
              </w:rPr>
            </w:pPr>
          </w:p>
        </w:tc>
      </w:tr>
    </w:tbl>
    <w:p w:rsidR="001011B6" w:rsidRPr="00BD13FE" w:rsidRDefault="001011B6" w:rsidP="001011B6">
      <w:pPr>
        <w:contextualSpacing/>
        <w:jc w:val="center"/>
        <w:rPr>
          <w:rFonts w:ascii="Times New Roman" w:hAnsi="Times New Roman" w:cs="Times New Roman"/>
          <w:sz w:val="24"/>
          <w:szCs w:val="24"/>
        </w:rPr>
      </w:pPr>
    </w:p>
    <w:p w:rsidR="003336CC" w:rsidRPr="008855B2" w:rsidRDefault="00C8743C" w:rsidP="00010B78">
      <w:pPr>
        <w:pStyle w:val="DefaultText"/>
        <w:spacing w:line="360" w:lineRule="auto"/>
        <w:ind w:right="-421"/>
        <w:rPr>
          <w:rFonts w:eastAsiaTheme="minorHAnsi"/>
          <w:b/>
          <w:color w:val="000000"/>
          <w:lang w:val="ro-RO" w:eastAsia="en-US"/>
        </w:rPr>
      </w:pPr>
      <w:r w:rsidRPr="00BD13FE">
        <w:rPr>
          <w:lang w:val="ro-RO"/>
        </w:rPr>
        <w:t xml:space="preserve">                                                       </w:t>
      </w:r>
      <w:r w:rsidR="00AE0D45">
        <w:rPr>
          <w:lang w:val="ro-RO"/>
        </w:rPr>
        <w:t xml:space="preserve">     </w:t>
      </w:r>
      <w:r w:rsidRPr="00BD13FE">
        <w:rPr>
          <w:lang w:val="ro-RO"/>
        </w:rPr>
        <w:t xml:space="preserve">  </w:t>
      </w:r>
      <w:r w:rsidR="008C7783" w:rsidRPr="00BD13FE">
        <w:rPr>
          <w:lang w:val="ro-RO"/>
        </w:rPr>
        <w:t xml:space="preserve"> </w:t>
      </w:r>
      <w:r w:rsidR="006746CC">
        <w:rPr>
          <w:lang w:val="ro-RO"/>
        </w:rPr>
        <w:t xml:space="preserve">   </w:t>
      </w:r>
      <w:r w:rsidR="008C7783" w:rsidRPr="00BD13FE">
        <w:rPr>
          <w:lang w:val="ro-RO"/>
        </w:rPr>
        <w:t xml:space="preserve">    </w:t>
      </w:r>
      <w:r w:rsidRPr="008855B2">
        <w:rPr>
          <w:rFonts w:eastAsiaTheme="minorHAnsi"/>
          <w:b/>
          <w:color w:val="000000"/>
          <w:lang w:val="ro-RO" w:eastAsia="en-US"/>
        </w:rPr>
        <w:t>Avizat,</w:t>
      </w:r>
    </w:p>
    <w:p w:rsidR="003336CC" w:rsidRPr="00BD13FE" w:rsidRDefault="008855B2" w:rsidP="003336CC">
      <w:pPr>
        <w:shd w:val="clear" w:color="auto" w:fill="FFFFFF"/>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3336CC" w:rsidRPr="00BD13FE">
        <w:rPr>
          <w:rFonts w:ascii="Times New Roman" w:hAnsi="Times New Roman" w:cs="Times New Roman"/>
          <w:b/>
          <w:sz w:val="24"/>
          <w:szCs w:val="24"/>
        </w:rPr>
        <w:t xml:space="preserve">MINISTRUL AFACERILOR EXTERNE </w:t>
      </w:r>
    </w:p>
    <w:p w:rsidR="003336CC" w:rsidRPr="00BD13FE" w:rsidRDefault="003336CC" w:rsidP="003336CC">
      <w:pPr>
        <w:shd w:val="clear" w:color="auto" w:fill="FFFFFF"/>
        <w:jc w:val="center"/>
        <w:rPr>
          <w:rFonts w:ascii="Times New Roman" w:hAnsi="Times New Roman" w:cs="Times New Roman"/>
          <w:b/>
          <w:bCs/>
          <w:sz w:val="24"/>
          <w:szCs w:val="24"/>
        </w:rPr>
      </w:pPr>
      <w:r w:rsidRPr="00BD13FE">
        <w:rPr>
          <w:rFonts w:ascii="Times New Roman" w:hAnsi="Times New Roman" w:cs="Times New Roman"/>
          <w:b/>
          <w:bCs/>
          <w:sz w:val="24"/>
          <w:szCs w:val="24"/>
        </w:rPr>
        <w:t xml:space="preserve">Teodor-Viorel MELEȘCANU </w:t>
      </w:r>
    </w:p>
    <w:p w:rsidR="003336CC" w:rsidRPr="00BD13FE" w:rsidRDefault="003336CC" w:rsidP="003336CC">
      <w:pPr>
        <w:shd w:val="clear" w:color="auto" w:fill="FFFFFF"/>
        <w:jc w:val="center"/>
        <w:rPr>
          <w:rFonts w:ascii="Times New Roman" w:hAnsi="Times New Roman" w:cs="Times New Roman"/>
          <w:b/>
          <w:bCs/>
          <w:sz w:val="24"/>
          <w:szCs w:val="24"/>
        </w:rPr>
      </w:pPr>
    </w:p>
    <w:p w:rsidR="003336CC" w:rsidRPr="00BD13FE" w:rsidRDefault="003336CC" w:rsidP="003336CC">
      <w:pPr>
        <w:shd w:val="clear" w:color="auto" w:fill="FFFFFF"/>
        <w:jc w:val="center"/>
        <w:rPr>
          <w:rFonts w:ascii="Times New Roman" w:hAnsi="Times New Roman" w:cs="Times New Roman"/>
          <w:b/>
          <w:bCs/>
          <w:sz w:val="20"/>
          <w:szCs w:val="20"/>
        </w:rPr>
      </w:pPr>
    </w:p>
    <w:p w:rsidR="003336CC" w:rsidRPr="00BD13FE" w:rsidRDefault="003336CC" w:rsidP="003336CC">
      <w:pPr>
        <w:spacing w:line="360" w:lineRule="auto"/>
        <w:jc w:val="center"/>
        <w:rPr>
          <w:rFonts w:ascii="Times New Roman" w:eastAsia="SimSun" w:hAnsi="Times New Roman" w:cs="Times New Roman"/>
          <w:b/>
          <w:kern w:val="2"/>
          <w:sz w:val="24"/>
          <w:szCs w:val="24"/>
          <w:lang w:bidi="hi-IN"/>
        </w:rPr>
      </w:pPr>
      <w:r w:rsidRPr="00BD13FE">
        <w:rPr>
          <w:rFonts w:ascii="Times New Roman" w:eastAsia="SimSun" w:hAnsi="Times New Roman" w:cs="Times New Roman"/>
          <w:b/>
          <w:kern w:val="2"/>
          <w:sz w:val="24"/>
          <w:szCs w:val="24"/>
          <w:lang w:bidi="hi-IN"/>
        </w:rPr>
        <w:t>MINISTRUL DELEGAT PENTRU AFACERI EUROPENE</w:t>
      </w:r>
    </w:p>
    <w:p w:rsidR="003336CC" w:rsidRDefault="003336CC" w:rsidP="003336CC">
      <w:pPr>
        <w:jc w:val="center"/>
        <w:rPr>
          <w:rFonts w:ascii="Times New Roman" w:eastAsia="SimSun" w:hAnsi="Times New Roman" w:cs="Times New Roman"/>
          <w:b/>
          <w:kern w:val="2"/>
          <w:sz w:val="24"/>
          <w:szCs w:val="24"/>
          <w:lang w:bidi="hi-IN"/>
        </w:rPr>
      </w:pPr>
      <w:r w:rsidRPr="00BD13FE">
        <w:rPr>
          <w:rFonts w:ascii="Times New Roman" w:eastAsia="SimSun" w:hAnsi="Times New Roman" w:cs="Times New Roman"/>
          <w:b/>
          <w:kern w:val="2"/>
          <w:sz w:val="24"/>
          <w:szCs w:val="24"/>
          <w:lang w:bidi="hi-IN"/>
        </w:rPr>
        <w:t xml:space="preserve"> Victor NEGRESCU</w:t>
      </w:r>
    </w:p>
    <w:p w:rsidR="008855B2" w:rsidRDefault="008855B2" w:rsidP="003336CC">
      <w:pPr>
        <w:jc w:val="center"/>
        <w:rPr>
          <w:rFonts w:ascii="Times New Roman" w:eastAsia="SimSun" w:hAnsi="Times New Roman" w:cs="Times New Roman"/>
          <w:b/>
          <w:kern w:val="2"/>
          <w:sz w:val="24"/>
          <w:szCs w:val="24"/>
          <w:lang w:bidi="hi-IN"/>
        </w:rPr>
      </w:pPr>
    </w:p>
    <w:p w:rsidR="00976177" w:rsidRPr="00BD13FE" w:rsidRDefault="00976177" w:rsidP="003336CC">
      <w:pPr>
        <w:jc w:val="center"/>
        <w:rPr>
          <w:rFonts w:ascii="Times New Roman" w:eastAsia="SimSun" w:hAnsi="Times New Roman" w:cs="Times New Roman"/>
          <w:b/>
          <w:kern w:val="2"/>
          <w:sz w:val="24"/>
          <w:szCs w:val="24"/>
          <w:lang w:bidi="hi-IN"/>
        </w:rPr>
      </w:pPr>
    </w:p>
    <w:p w:rsidR="008855B2" w:rsidRDefault="008855B2" w:rsidP="008855B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MINISTRUL MUNCII ȘI JUSTIȚIEI SOCIALE,</w:t>
      </w:r>
    </w:p>
    <w:p w:rsidR="008855B2" w:rsidRDefault="008855B2" w:rsidP="008855B2">
      <w:pPr>
        <w:jc w:val="center"/>
        <w:rPr>
          <w:rFonts w:ascii="Times New Roman" w:hAnsi="Times New Roman" w:cs="Times New Roman"/>
          <w:b/>
          <w:color w:val="000000"/>
          <w:sz w:val="20"/>
          <w:szCs w:val="20"/>
        </w:rPr>
      </w:pPr>
      <w:r>
        <w:rPr>
          <w:rFonts w:ascii="Times New Roman" w:hAnsi="Times New Roman" w:cs="Times New Roman"/>
          <w:b/>
          <w:color w:val="000000"/>
          <w:sz w:val="24"/>
          <w:szCs w:val="24"/>
        </w:rPr>
        <w:t>Lia-Olguța VASILESCU</w:t>
      </w:r>
    </w:p>
    <w:p w:rsidR="008855B2" w:rsidRDefault="008855B2" w:rsidP="008855B2">
      <w:pPr>
        <w:jc w:val="center"/>
        <w:rPr>
          <w:rFonts w:ascii="Times New Roman" w:hAnsi="Times New Roman" w:cs="Times New Roman"/>
          <w:b/>
          <w:color w:val="000000"/>
          <w:sz w:val="20"/>
          <w:szCs w:val="20"/>
        </w:rPr>
      </w:pPr>
    </w:p>
    <w:p w:rsidR="008855B2" w:rsidRDefault="008855B2" w:rsidP="008855B2">
      <w:pPr>
        <w:jc w:val="center"/>
        <w:rPr>
          <w:rFonts w:ascii="Times New Roman" w:hAnsi="Times New Roman" w:cs="Times New Roman"/>
          <w:b/>
          <w:color w:val="000000"/>
          <w:sz w:val="20"/>
          <w:szCs w:val="20"/>
        </w:rPr>
      </w:pPr>
    </w:p>
    <w:p w:rsidR="008855B2" w:rsidRDefault="008855B2" w:rsidP="008855B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MINISTRUL SĂNĂTĂȚII,</w:t>
      </w:r>
    </w:p>
    <w:p w:rsidR="008855B2" w:rsidRDefault="008855B2" w:rsidP="008855B2">
      <w:pPr>
        <w:jc w:val="center"/>
        <w:rPr>
          <w:rFonts w:ascii="Times New Roman" w:hAnsi="Times New Roman" w:cs="Times New Roman"/>
          <w:b/>
          <w:sz w:val="20"/>
          <w:szCs w:val="20"/>
        </w:rPr>
      </w:pPr>
      <w:r>
        <w:rPr>
          <w:rFonts w:ascii="Times New Roman" w:hAnsi="Times New Roman" w:cs="Times New Roman"/>
          <w:b/>
          <w:color w:val="000000"/>
          <w:sz w:val="24"/>
          <w:szCs w:val="24"/>
        </w:rPr>
        <w:t>Sorina PINTEA</w:t>
      </w:r>
    </w:p>
    <w:p w:rsidR="008855B2" w:rsidRDefault="008855B2" w:rsidP="008855B2">
      <w:pPr>
        <w:jc w:val="center"/>
        <w:rPr>
          <w:rFonts w:ascii="Times New Roman" w:hAnsi="Times New Roman" w:cs="Times New Roman"/>
          <w:b/>
          <w:sz w:val="20"/>
          <w:szCs w:val="20"/>
        </w:rPr>
      </w:pPr>
    </w:p>
    <w:p w:rsidR="008855B2" w:rsidRDefault="008855B2" w:rsidP="008855B2">
      <w:pPr>
        <w:jc w:val="center"/>
        <w:rPr>
          <w:rFonts w:ascii="Times New Roman" w:hAnsi="Times New Roman" w:cs="Times New Roman"/>
          <w:b/>
          <w:sz w:val="20"/>
          <w:szCs w:val="20"/>
        </w:rPr>
      </w:pPr>
    </w:p>
    <w:p w:rsidR="008855B2" w:rsidRDefault="008855B2" w:rsidP="008855B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 PREȘEDINTE CASA NAȚIONALĂ DE ASIGURĂRI DE SĂNĂTATE,</w:t>
      </w:r>
    </w:p>
    <w:p w:rsidR="008855B2" w:rsidRDefault="008855B2" w:rsidP="008855B2">
      <w:pPr>
        <w:jc w:val="center"/>
        <w:rPr>
          <w:rFonts w:ascii="Times New Roman" w:hAnsi="Times New Roman" w:cs="Times New Roman"/>
          <w:b/>
          <w:color w:val="000000"/>
          <w:sz w:val="20"/>
          <w:szCs w:val="20"/>
        </w:rPr>
      </w:pPr>
      <w:r>
        <w:rPr>
          <w:rFonts w:ascii="Times New Roman" w:hAnsi="Times New Roman" w:cs="Times New Roman"/>
          <w:b/>
          <w:color w:val="000000"/>
          <w:sz w:val="24"/>
          <w:szCs w:val="24"/>
        </w:rPr>
        <w:t>Răzvan-Teohari VULCĂNESCU</w:t>
      </w:r>
    </w:p>
    <w:p w:rsidR="003336CC" w:rsidRPr="00BD13FE" w:rsidRDefault="003336CC" w:rsidP="00010B78">
      <w:pPr>
        <w:pStyle w:val="DefaultText"/>
        <w:spacing w:line="360" w:lineRule="auto"/>
        <w:ind w:right="-421"/>
        <w:rPr>
          <w:lang w:val="ro-RO"/>
        </w:rPr>
      </w:pPr>
    </w:p>
    <w:p w:rsidR="003336CC" w:rsidRPr="00BD13FE" w:rsidRDefault="003336CC" w:rsidP="00010B78">
      <w:pPr>
        <w:pStyle w:val="DefaultText"/>
        <w:spacing w:line="360" w:lineRule="auto"/>
        <w:ind w:right="-421"/>
        <w:rPr>
          <w:lang w:val="ro-RO"/>
        </w:rPr>
      </w:pPr>
    </w:p>
    <w:p w:rsidR="00C8743C" w:rsidRPr="00BD13FE" w:rsidRDefault="003336CC" w:rsidP="00010B78">
      <w:pPr>
        <w:spacing w:line="360" w:lineRule="auto"/>
        <w:jc w:val="center"/>
        <w:rPr>
          <w:rFonts w:ascii="Times New Roman" w:hAnsi="Times New Roman" w:cs="Times New Roman"/>
          <w:b/>
          <w:sz w:val="24"/>
          <w:szCs w:val="24"/>
        </w:rPr>
      </w:pPr>
      <w:r w:rsidRPr="00BD13FE">
        <w:rPr>
          <w:rFonts w:ascii="Times New Roman" w:hAnsi="Times New Roman" w:cs="Times New Roman"/>
          <w:b/>
          <w:sz w:val="24"/>
          <w:szCs w:val="24"/>
        </w:rPr>
        <w:t>MINISTRUL JUSTIȚIEI</w:t>
      </w:r>
    </w:p>
    <w:p w:rsidR="00C71834" w:rsidRPr="00BD13FE" w:rsidRDefault="00653BA0" w:rsidP="00010B78">
      <w:pPr>
        <w:spacing w:line="360" w:lineRule="auto"/>
        <w:jc w:val="center"/>
        <w:rPr>
          <w:rFonts w:ascii="Times New Roman" w:hAnsi="Times New Roman" w:cs="Times New Roman"/>
          <w:b/>
          <w:sz w:val="24"/>
          <w:szCs w:val="24"/>
        </w:rPr>
      </w:pPr>
      <w:r w:rsidRPr="00BD13FE">
        <w:rPr>
          <w:rFonts w:ascii="Times New Roman" w:hAnsi="Times New Roman" w:cs="Times New Roman"/>
          <w:b/>
          <w:sz w:val="24"/>
          <w:szCs w:val="24"/>
        </w:rPr>
        <w:t>Tudorel TOADER</w:t>
      </w:r>
    </w:p>
    <w:p w:rsidR="00D52B86" w:rsidRPr="00BD13FE" w:rsidRDefault="00D52B86" w:rsidP="00010B78">
      <w:pPr>
        <w:spacing w:line="360" w:lineRule="auto"/>
        <w:jc w:val="center"/>
        <w:rPr>
          <w:rFonts w:ascii="Times New Roman" w:hAnsi="Times New Roman" w:cs="Times New Roman"/>
          <w:b/>
          <w:sz w:val="24"/>
          <w:szCs w:val="24"/>
        </w:rPr>
      </w:pPr>
    </w:p>
    <w:p w:rsidR="00D52B86" w:rsidRPr="00BD13FE" w:rsidRDefault="00D52B86" w:rsidP="00010B78">
      <w:pPr>
        <w:spacing w:line="360" w:lineRule="auto"/>
        <w:jc w:val="center"/>
        <w:rPr>
          <w:rFonts w:ascii="Times New Roman" w:hAnsi="Times New Roman" w:cs="Times New Roman"/>
          <w:b/>
          <w:sz w:val="24"/>
          <w:szCs w:val="24"/>
        </w:rPr>
      </w:pPr>
    </w:p>
    <w:p w:rsidR="00D52B86" w:rsidRPr="00BD13FE" w:rsidRDefault="00D52B86" w:rsidP="00010B78">
      <w:pPr>
        <w:spacing w:line="360" w:lineRule="auto"/>
        <w:jc w:val="center"/>
        <w:rPr>
          <w:rFonts w:ascii="Times New Roman" w:hAnsi="Times New Roman" w:cs="Times New Roman"/>
          <w:b/>
          <w:sz w:val="24"/>
          <w:szCs w:val="24"/>
        </w:rPr>
      </w:pPr>
    </w:p>
    <w:p w:rsidR="00A13DA2" w:rsidRPr="00BD13FE" w:rsidRDefault="00A13DA2" w:rsidP="00010B78">
      <w:pPr>
        <w:spacing w:line="360" w:lineRule="auto"/>
        <w:jc w:val="center"/>
        <w:rPr>
          <w:rFonts w:ascii="Times New Roman" w:hAnsi="Times New Roman" w:cs="Times New Roman"/>
          <w:b/>
          <w:sz w:val="24"/>
          <w:szCs w:val="24"/>
        </w:rPr>
      </w:pPr>
    </w:p>
    <w:tbl>
      <w:tblPr>
        <w:tblW w:w="9640" w:type="dxa"/>
        <w:tblInd w:w="-147" w:type="dxa"/>
        <w:tblLayout w:type="fixed"/>
        <w:tblLook w:val="04A0" w:firstRow="1" w:lastRow="0" w:firstColumn="1" w:lastColumn="0" w:noHBand="0" w:noVBand="1"/>
      </w:tblPr>
      <w:tblGrid>
        <w:gridCol w:w="4678"/>
        <w:gridCol w:w="4962"/>
      </w:tblGrid>
      <w:tr w:rsidR="00BD13FE" w:rsidRPr="00BD13FE" w:rsidTr="00331568">
        <w:trPr>
          <w:cantSplit/>
        </w:trPr>
        <w:tc>
          <w:tcPr>
            <w:tcW w:w="9640" w:type="dxa"/>
            <w:gridSpan w:val="2"/>
            <w:tcBorders>
              <w:top w:val="single" w:sz="4" w:space="0" w:color="auto"/>
              <w:left w:val="single" w:sz="4" w:space="0" w:color="auto"/>
              <w:bottom w:val="single" w:sz="4" w:space="0" w:color="000000"/>
              <w:right w:val="single" w:sz="4" w:space="0" w:color="auto"/>
            </w:tcBorders>
            <w:hideMark/>
          </w:tcPr>
          <w:p w:rsidR="00C71834" w:rsidRPr="00BD13FE" w:rsidRDefault="00C71834" w:rsidP="00331568">
            <w:pPr>
              <w:contextualSpacing/>
              <w:jc w:val="center"/>
              <w:rPr>
                <w:rFonts w:ascii="Times New Roman" w:hAnsi="Times New Roman" w:cs="Times New Roman"/>
                <w:b/>
                <w:sz w:val="24"/>
                <w:szCs w:val="24"/>
              </w:rPr>
            </w:pPr>
            <w:r w:rsidRPr="00BD13FE">
              <w:rPr>
                <w:rFonts w:ascii="Times New Roman" w:hAnsi="Times New Roman" w:cs="Times New Roman"/>
                <w:b/>
                <w:sz w:val="24"/>
                <w:szCs w:val="24"/>
              </w:rPr>
              <w:lastRenderedPageBreak/>
              <w:t>Secțiunea a 8-a</w:t>
            </w:r>
          </w:p>
          <w:p w:rsidR="00C71834" w:rsidRPr="00BD13FE" w:rsidRDefault="00C71834" w:rsidP="00331568">
            <w:pPr>
              <w:contextualSpacing/>
              <w:jc w:val="center"/>
              <w:rPr>
                <w:rFonts w:ascii="Times New Roman" w:hAnsi="Times New Roman" w:cs="Times New Roman"/>
                <w:b/>
                <w:sz w:val="24"/>
                <w:szCs w:val="24"/>
              </w:rPr>
            </w:pPr>
            <w:r w:rsidRPr="00BD13FE">
              <w:rPr>
                <w:rFonts w:ascii="Times New Roman" w:hAnsi="Times New Roman" w:cs="Times New Roman"/>
                <w:b/>
                <w:sz w:val="24"/>
                <w:szCs w:val="24"/>
              </w:rPr>
              <w:t>Măsuri de implementare</w:t>
            </w:r>
          </w:p>
        </w:tc>
      </w:tr>
      <w:tr w:rsidR="00BD13FE" w:rsidRPr="00BD13FE" w:rsidTr="00331568">
        <w:trPr>
          <w:cantSplit/>
        </w:trPr>
        <w:tc>
          <w:tcPr>
            <w:tcW w:w="4678" w:type="dxa"/>
            <w:tcBorders>
              <w:top w:val="single" w:sz="4" w:space="0" w:color="000000"/>
              <w:left w:val="single" w:sz="4" w:space="0" w:color="auto"/>
              <w:bottom w:val="single" w:sz="4" w:space="0" w:color="auto"/>
              <w:right w:val="nil"/>
            </w:tcBorders>
          </w:tcPr>
          <w:p w:rsidR="00C71834" w:rsidRPr="00BD13FE" w:rsidRDefault="00C71834" w:rsidP="00331568">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1. Măsurile de punere în aplicare a actului normativ de către autoritățile administrației publice centrale și/sau locale – înființarea unor noi organisme sau extinderea competențelor instituțiilor existente</w:t>
            </w:r>
          </w:p>
        </w:tc>
        <w:tc>
          <w:tcPr>
            <w:tcW w:w="4962" w:type="dxa"/>
            <w:tcBorders>
              <w:top w:val="single" w:sz="4" w:space="0" w:color="000000"/>
              <w:left w:val="single" w:sz="4" w:space="0" w:color="000000"/>
              <w:bottom w:val="single" w:sz="4" w:space="0" w:color="auto"/>
              <w:right w:val="single" w:sz="4" w:space="0" w:color="auto"/>
            </w:tcBorders>
          </w:tcPr>
          <w:p w:rsidR="00C71834" w:rsidRPr="00BD13FE" w:rsidRDefault="00C71834" w:rsidP="00331568">
            <w:pPr>
              <w:snapToGrid w:val="0"/>
              <w:contextualSpacing/>
              <w:jc w:val="both"/>
              <w:rPr>
                <w:rFonts w:ascii="Times New Roman" w:hAnsi="Times New Roman" w:cs="Times New Roman"/>
                <w:sz w:val="24"/>
                <w:szCs w:val="24"/>
              </w:rPr>
            </w:pPr>
            <w:r w:rsidRPr="00BD13FE">
              <w:rPr>
                <w:rFonts w:ascii="Times New Roman" w:hAnsi="Times New Roman" w:cs="Times New Roman"/>
                <w:bCs/>
                <w:sz w:val="24"/>
                <w:szCs w:val="24"/>
              </w:rPr>
              <w:t>Nu este cazul</w:t>
            </w:r>
          </w:p>
        </w:tc>
      </w:tr>
      <w:tr w:rsidR="00BD13FE" w:rsidRPr="00BD13FE" w:rsidTr="00331568">
        <w:trPr>
          <w:cantSplit/>
        </w:trPr>
        <w:tc>
          <w:tcPr>
            <w:tcW w:w="4678" w:type="dxa"/>
            <w:tcBorders>
              <w:top w:val="single" w:sz="4" w:space="0" w:color="auto"/>
              <w:left w:val="single" w:sz="4" w:space="0" w:color="000000"/>
              <w:bottom w:val="single" w:sz="4" w:space="0" w:color="000000"/>
              <w:right w:val="nil"/>
            </w:tcBorders>
          </w:tcPr>
          <w:p w:rsidR="00C71834" w:rsidRPr="00BD13FE" w:rsidRDefault="00C71834" w:rsidP="00331568">
            <w:pPr>
              <w:contextualSpacing/>
              <w:jc w:val="both"/>
              <w:rPr>
                <w:rFonts w:ascii="Times New Roman" w:hAnsi="Times New Roman" w:cs="Times New Roman"/>
                <w:b/>
                <w:bCs/>
                <w:sz w:val="24"/>
                <w:szCs w:val="24"/>
              </w:rPr>
            </w:pPr>
            <w:r w:rsidRPr="00BD13FE">
              <w:rPr>
                <w:rFonts w:ascii="Times New Roman" w:hAnsi="Times New Roman" w:cs="Times New Roman"/>
                <w:b/>
                <w:bCs/>
                <w:sz w:val="24"/>
                <w:szCs w:val="24"/>
              </w:rPr>
              <w:t>2.Alte informații</w:t>
            </w:r>
          </w:p>
        </w:tc>
        <w:tc>
          <w:tcPr>
            <w:tcW w:w="4962" w:type="dxa"/>
            <w:tcBorders>
              <w:top w:val="single" w:sz="4" w:space="0" w:color="auto"/>
              <w:left w:val="single" w:sz="4" w:space="0" w:color="000000"/>
              <w:bottom w:val="single" w:sz="4" w:space="0" w:color="000000"/>
              <w:right w:val="single" w:sz="4" w:space="0" w:color="000000"/>
            </w:tcBorders>
          </w:tcPr>
          <w:p w:rsidR="00C71834" w:rsidRPr="00BD13FE" w:rsidRDefault="00C71834" w:rsidP="00331568">
            <w:pPr>
              <w:snapToGrid w:val="0"/>
              <w:contextualSpacing/>
              <w:jc w:val="both"/>
              <w:rPr>
                <w:rFonts w:ascii="Times New Roman" w:hAnsi="Times New Roman" w:cs="Times New Roman"/>
                <w:sz w:val="24"/>
                <w:szCs w:val="24"/>
              </w:rPr>
            </w:pPr>
            <w:r w:rsidRPr="00BD13FE">
              <w:rPr>
                <w:rFonts w:ascii="Times New Roman" w:hAnsi="Times New Roman" w:cs="Times New Roman"/>
                <w:bCs/>
                <w:sz w:val="24"/>
                <w:szCs w:val="24"/>
              </w:rPr>
              <w:t>Nu este cazul</w:t>
            </w:r>
          </w:p>
        </w:tc>
      </w:tr>
    </w:tbl>
    <w:p w:rsidR="00C71834" w:rsidRPr="00BD13FE" w:rsidRDefault="00C71834" w:rsidP="00C71834">
      <w:pPr>
        <w:ind w:left="-450" w:right="-306"/>
        <w:contextualSpacing/>
        <w:jc w:val="both"/>
        <w:rPr>
          <w:rFonts w:ascii="Times New Roman" w:eastAsia="Calibri" w:hAnsi="Times New Roman" w:cs="Times New Roman"/>
          <w:sz w:val="24"/>
          <w:szCs w:val="24"/>
        </w:rPr>
      </w:pPr>
    </w:p>
    <w:p w:rsidR="007E3336" w:rsidRPr="00BD13FE" w:rsidRDefault="00C71834" w:rsidP="007E3336">
      <w:pPr>
        <w:autoSpaceDE w:val="0"/>
        <w:autoSpaceDN w:val="0"/>
        <w:adjustRightInd w:val="0"/>
        <w:ind w:firstLine="708"/>
        <w:jc w:val="both"/>
        <w:rPr>
          <w:rFonts w:ascii="Times New Roman" w:hAnsi="Times New Roman" w:cs="Times New Roman"/>
          <w:sz w:val="24"/>
          <w:szCs w:val="24"/>
        </w:rPr>
      </w:pPr>
      <w:r w:rsidRPr="00BD13FE">
        <w:rPr>
          <w:rFonts w:ascii="Times New Roman" w:hAnsi="Times New Roman" w:cs="Times New Roman"/>
          <w:sz w:val="24"/>
          <w:szCs w:val="24"/>
        </w:rPr>
        <w:t>Față de cele prezentate, a fost promovată prezenta</w:t>
      </w:r>
      <w:r w:rsidR="007E3336" w:rsidRPr="00BD13FE">
        <w:rPr>
          <w:rFonts w:ascii="Times New Roman" w:hAnsi="Times New Roman" w:cs="Times New Roman"/>
          <w:sz w:val="24"/>
          <w:szCs w:val="24"/>
        </w:rPr>
        <w:t xml:space="preserve"> Ordonanța de urgență a Guvernului</w:t>
      </w:r>
    </w:p>
    <w:p w:rsidR="00C71834" w:rsidRPr="00BD13FE" w:rsidRDefault="007E3336" w:rsidP="007E3336">
      <w:pPr>
        <w:autoSpaceDE w:val="0"/>
        <w:autoSpaceDN w:val="0"/>
        <w:adjustRightInd w:val="0"/>
        <w:jc w:val="both"/>
        <w:rPr>
          <w:rFonts w:ascii="Times New Roman" w:hAnsi="Times New Roman" w:cs="Times New Roman"/>
          <w:sz w:val="24"/>
          <w:szCs w:val="24"/>
        </w:rPr>
      </w:pPr>
      <w:r w:rsidRPr="00BD13FE">
        <w:rPr>
          <w:rFonts w:ascii="Times New Roman" w:hAnsi="Times New Roman" w:cs="Times New Roman"/>
          <w:sz w:val="24"/>
          <w:szCs w:val="24"/>
        </w:rPr>
        <w:t>privind unele măsuri fiscal – bugetare și pentru modificarea unor acte normative</w:t>
      </w:r>
      <w:r w:rsidR="00C71834" w:rsidRPr="00BD13FE">
        <w:rPr>
          <w:rFonts w:ascii="Times New Roman" w:hAnsi="Times New Roman" w:cs="Times New Roman"/>
          <w:sz w:val="24"/>
          <w:szCs w:val="24"/>
        </w:rPr>
        <w:t>.</w:t>
      </w:r>
    </w:p>
    <w:p w:rsidR="007E3336" w:rsidRPr="00BD13FE" w:rsidRDefault="007E3336" w:rsidP="007E3336">
      <w:pPr>
        <w:autoSpaceDE w:val="0"/>
        <w:autoSpaceDN w:val="0"/>
        <w:adjustRightInd w:val="0"/>
        <w:jc w:val="both"/>
        <w:rPr>
          <w:rFonts w:ascii="Times New Roman" w:hAnsi="Times New Roman" w:cs="Times New Roman"/>
          <w:sz w:val="24"/>
          <w:szCs w:val="24"/>
        </w:rPr>
      </w:pPr>
    </w:p>
    <w:p w:rsidR="00C71834" w:rsidRPr="00BD13FE" w:rsidRDefault="00C71834" w:rsidP="00C71834">
      <w:pPr>
        <w:contextualSpacing/>
        <w:jc w:val="both"/>
        <w:rPr>
          <w:rFonts w:ascii="Times New Roman" w:hAnsi="Times New Roman" w:cs="Times New Roman"/>
          <w:sz w:val="24"/>
          <w:szCs w:val="24"/>
        </w:rPr>
      </w:pPr>
    </w:p>
    <w:p w:rsidR="00C71834" w:rsidRPr="00BD13FE" w:rsidRDefault="00C71834" w:rsidP="00C71834">
      <w:pPr>
        <w:jc w:val="center"/>
        <w:rPr>
          <w:rFonts w:ascii="Times New Roman" w:hAnsi="Times New Roman" w:cs="Times New Roman"/>
          <w:b/>
          <w:bCs/>
          <w:sz w:val="24"/>
          <w:szCs w:val="24"/>
          <w:shd w:val="clear" w:color="auto" w:fill="FFFFFF"/>
        </w:rPr>
      </w:pPr>
      <w:r w:rsidRPr="00BD13FE">
        <w:rPr>
          <w:rFonts w:ascii="Times New Roman" w:hAnsi="Times New Roman" w:cs="Times New Roman"/>
          <w:b/>
          <w:sz w:val="24"/>
          <w:szCs w:val="24"/>
        </w:rPr>
        <w:t>MINISTRUL FINANŢELOR PUBLICE</w:t>
      </w:r>
    </w:p>
    <w:p w:rsidR="00C71834" w:rsidRPr="00BD13FE" w:rsidRDefault="00C71834" w:rsidP="00C71834">
      <w:pPr>
        <w:jc w:val="center"/>
        <w:rPr>
          <w:rFonts w:ascii="Times New Roman" w:hAnsi="Times New Roman" w:cs="Times New Roman"/>
          <w:b/>
          <w:bCs/>
          <w:sz w:val="24"/>
          <w:szCs w:val="24"/>
          <w:shd w:val="clear" w:color="auto" w:fill="FFFFFF"/>
        </w:rPr>
      </w:pPr>
    </w:p>
    <w:p w:rsidR="00C71834" w:rsidRPr="00BD13FE" w:rsidRDefault="00C71834" w:rsidP="00C71834">
      <w:pPr>
        <w:jc w:val="center"/>
        <w:rPr>
          <w:rFonts w:ascii="Times New Roman" w:hAnsi="Times New Roman" w:cs="Times New Roman"/>
          <w:b/>
          <w:bCs/>
          <w:sz w:val="24"/>
          <w:szCs w:val="24"/>
          <w:shd w:val="clear" w:color="auto" w:fill="FFFFFF"/>
        </w:rPr>
      </w:pPr>
      <w:r w:rsidRPr="00BD13FE">
        <w:rPr>
          <w:rFonts w:ascii="Times New Roman" w:hAnsi="Times New Roman" w:cs="Times New Roman"/>
          <w:b/>
          <w:bCs/>
          <w:sz w:val="24"/>
          <w:szCs w:val="24"/>
          <w:shd w:val="clear" w:color="auto" w:fill="FFFFFF"/>
        </w:rPr>
        <w:t xml:space="preserve">Eugen – Orlando TEODOROVICI  </w:t>
      </w:r>
    </w:p>
    <w:p w:rsidR="00C71834" w:rsidRPr="00BD13FE" w:rsidRDefault="00C71834" w:rsidP="00C71834">
      <w:pPr>
        <w:autoSpaceDE w:val="0"/>
        <w:jc w:val="center"/>
        <w:rPr>
          <w:rFonts w:ascii="Times New Roman" w:hAnsi="Times New Roman" w:cs="Times New Roman"/>
          <w:b/>
          <w:bCs/>
          <w:sz w:val="24"/>
          <w:szCs w:val="24"/>
          <w:shd w:val="clear" w:color="auto" w:fill="FFFFFF"/>
        </w:rPr>
      </w:pPr>
    </w:p>
    <w:p w:rsidR="007A709E" w:rsidRPr="00BD13FE" w:rsidRDefault="007A709E" w:rsidP="00C71834">
      <w:pPr>
        <w:autoSpaceDE w:val="0"/>
        <w:jc w:val="center"/>
        <w:rPr>
          <w:rFonts w:ascii="Times New Roman" w:hAnsi="Times New Roman" w:cs="Times New Roman"/>
          <w:b/>
          <w:bCs/>
          <w:sz w:val="24"/>
          <w:szCs w:val="24"/>
          <w:shd w:val="clear" w:color="auto" w:fill="FFFFFF"/>
        </w:rPr>
      </w:pPr>
    </w:p>
    <w:p w:rsidR="007A709E" w:rsidRPr="00BD13FE" w:rsidRDefault="007A709E" w:rsidP="007A709E">
      <w:pPr>
        <w:autoSpaceDE w:val="0"/>
        <w:jc w:val="center"/>
        <w:rPr>
          <w:rFonts w:ascii="Times New Roman" w:hAnsi="Times New Roman" w:cs="Times New Roman"/>
          <w:b/>
          <w:bCs/>
          <w:sz w:val="24"/>
          <w:szCs w:val="24"/>
          <w:shd w:val="clear" w:color="auto" w:fill="FFFFFF"/>
        </w:rPr>
      </w:pPr>
      <w:r w:rsidRPr="00BD13FE">
        <w:rPr>
          <w:rFonts w:ascii="Times New Roman" w:hAnsi="Times New Roman" w:cs="Times New Roman"/>
          <w:b/>
          <w:bCs/>
          <w:sz w:val="24"/>
          <w:szCs w:val="24"/>
          <w:shd w:val="clear" w:color="auto" w:fill="FFFFFF"/>
        </w:rPr>
        <w:t xml:space="preserve">SECRETAR GENERAL </w:t>
      </w:r>
    </w:p>
    <w:p w:rsidR="007A709E" w:rsidRPr="00BD13FE" w:rsidRDefault="007A709E" w:rsidP="007A709E">
      <w:pPr>
        <w:autoSpaceDE w:val="0"/>
        <w:jc w:val="center"/>
        <w:rPr>
          <w:rFonts w:ascii="Times New Roman" w:hAnsi="Times New Roman" w:cs="Times New Roman"/>
          <w:b/>
          <w:bCs/>
          <w:sz w:val="24"/>
          <w:szCs w:val="24"/>
          <w:shd w:val="clear" w:color="auto" w:fill="FFFFFF"/>
        </w:rPr>
      </w:pPr>
    </w:p>
    <w:p w:rsidR="00C71834" w:rsidRPr="00BD13FE" w:rsidRDefault="007A709E" w:rsidP="00C71834">
      <w:pPr>
        <w:autoSpaceDE w:val="0"/>
        <w:jc w:val="center"/>
        <w:rPr>
          <w:rFonts w:ascii="Times New Roman" w:hAnsi="Times New Roman" w:cs="Times New Roman"/>
          <w:b/>
          <w:bCs/>
          <w:sz w:val="24"/>
          <w:szCs w:val="24"/>
          <w:shd w:val="clear" w:color="auto" w:fill="FFFFFF"/>
        </w:rPr>
      </w:pPr>
      <w:r w:rsidRPr="00BD13FE">
        <w:rPr>
          <w:rFonts w:ascii="Times New Roman" w:hAnsi="Times New Roman" w:cs="Times New Roman"/>
          <w:b/>
          <w:bCs/>
          <w:sz w:val="24"/>
          <w:szCs w:val="24"/>
          <w:shd w:val="clear" w:color="auto" w:fill="FFFFFF"/>
        </w:rPr>
        <w:t>Mihai DIACONU</w:t>
      </w:r>
    </w:p>
    <w:p w:rsidR="00C71834" w:rsidRPr="00BD13FE" w:rsidRDefault="00C71834" w:rsidP="00C71834">
      <w:pPr>
        <w:autoSpaceDE w:val="0"/>
        <w:jc w:val="center"/>
        <w:rPr>
          <w:rFonts w:ascii="Times New Roman" w:hAnsi="Times New Roman" w:cs="Times New Roman"/>
          <w:b/>
          <w:bCs/>
          <w:sz w:val="24"/>
          <w:szCs w:val="24"/>
          <w:shd w:val="clear" w:color="auto" w:fill="FFFFFF"/>
        </w:rPr>
      </w:pPr>
    </w:p>
    <w:tbl>
      <w:tblPr>
        <w:tblW w:w="10621" w:type="dxa"/>
        <w:tblInd w:w="-698" w:type="dxa"/>
        <w:tblLayout w:type="fixed"/>
        <w:tblLook w:val="0000" w:firstRow="0" w:lastRow="0" w:firstColumn="0" w:lastColumn="0" w:noHBand="0" w:noVBand="0"/>
      </w:tblPr>
      <w:tblGrid>
        <w:gridCol w:w="3392"/>
        <w:gridCol w:w="2551"/>
        <w:gridCol w:w="2693"/>
        <w:gridCol w:w="1985"/>
      </w:tblGrid>
      <w:tr w:rsidR="00BD13FE" w:rsidRPr="00BD13FE" w:rsidTr="00F152C2">
        <w:trPr>
          <w:trHeight w:val="551"/>
        </w:trPr>
        <w:tc>
          <w:tcPr>
            <w:tcW w:w="3392" w:type="dxa"/>
            <w:shd w:val="clear" w:color="auto" w:fill="FFFFFF"/>
          </w:tcPr>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SECRETAR DE STAT</w:t>
            </w:r>
          </w:p>
          <w:p w:rsidR="00F152C2" w:rsidRPr="00BD13FE" w:rsidRDefault="00F152C2" w:rsidP="008C7783">
            <w:pPr>
              <w:pStyle w:val="DefaultText1"/>
              <w:shd w:val="clear" w:color="auto" w:fill="FFFFFF"/>
              <w:jc w:val="center"/>
              <w:rPr>
                <w:b/>
                <w:sz w:val="18"/>
                <w:szCs w:val="18"/>
                <w:shd w:val="clear" w:color="auto" w:fill="FFFFFF"/>
                <w:lang w:val="ro-RO"/>
              </w:rPr>
            </w:pPr>
          </w:p>
          <w:p w:rsidR="00F152C2" w:rsidRPr="00BD13FE" w:rsidRDefault="00F152C2"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Valentin Tiberiu MAVRODIN</w:t>
            </w:r>
          </w:p>
          <w:p w:rsidR="006B5404" w:rsidRPr="00BD13FE" w:rsidRDefault="006B5404" w:rsidP="008C7783">
            <w:pPr>
              <w:pStyle w:val="DefaultText1"/>
              <w:shd w:val="clear" w:color="auto" w:fill="FFFFFF"/>
              <w:jc w:val="center"/>
              <w:rPr>
                <w:b/>
                <w:sz w:val="18"/>
                <w:szCs w:val="18"/>
                <w:shd w:val="clear" w:color="auto" w:fill="FFFFFF"/>
                <w:lang w:val="ro-RO"/>
              </w:rPr>
            </w:pPr>
          </w:p>
        </w:tc>
        <w:tc>
          <w:tcPr>
            <w:tcW w:w="2551" w:type="dxa"/>
            <w:shd w:val="clear" w:color="auto" w:fill="FFFFFF"/>
          </w:tcPr>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SECRETAR DE STAT</w:t>
            </w:r>
          </w:p>
          <w:p w:rsidR="006B5404" w:rsidRPr="00BD13FE" w:rsidRDefault="006B5404" w:rsidP="008C7783">
            <w:pPr>
              <w:pStyle w:val="DefaultText1"/>
              <w:shd w:val="clear" w:color="auto" w:fill="FFFFFF"/>
              <w:jc w:val="center"/>
              <w:rPr>
                <w:b/>
                <w:sz w:val="18"/>
                <w:szCs w:val="18"/>
                <w:shd w:val="clear" w:color="auto" w:fill="FFFFFF"/>
                <w:lang w:val="ro-RO"/>
              </w:rPr>
            </w:pPr>
          </w:p>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Elena – Oana IACOB</w:t>
            </w:r>
          </w:p>
          <w:p w:rsidR="006B5404" w:rsidRPr="00BD13FE" w:rsidRDefault="006B5404" w:rsidP="008C7783">
            <w:pPr>
              <w:pStyle w:val="DefaultText1"/>
              <w:shd w:val="clear" w:color="auto" w:fill="FFFFFF"/>
              <w:jc w:val="center"/>
              <w:rPr>
                <w:b/>
                <w:sz w:val="18"/>
                <w:szCs w:val="18"/>
                <w:shd w:val="clear" w:color="auto" w:fill="FFFFFF"/>
                <w:lang w:val="ro-RO"/>
              </w:rPr>
            </w:pPr>
          </w:p>
        </w:tc>
        <w:tc>
          <w:tcPr>
            <w:tcW w:w="2693" w:type="dxa"/>
            <w:shd w:val="clear" w:color="auto" w:fill="FFFFFF"/>
          </w:tcPr>
          <w:p w:rsidR="006B5404" w:rsidRPr="00BD13FE" w:rsidRDefault="006B5404" w:rsidP="008C7783">
            <w:pPr>
              <w:pStyle w:val="DefaultText1"/>
              <w:shd w:val="clear" w:color="auto" w:fill="FFFFFF"/>
              <w:ind w:right="49"/>
              <w:jc w:val="center"/>
              <w:rPr>
                <w:b/>
                <w:sz w:val="18"/>
                <w:szCs w:val="18"/>
                <w:shd w:val="clear" w:color="auto" w:fill="FFFFFF"/>
                <w:lang w:val="ro-RO"/>
              </w:rPr>
            </w:pPr>
            <w:r w:rsidRPr="00BD13FE">
              <w:rPr>
                <w:b/>
                <w:sz w:val="18"/>
                <w:szCs w:val="18"/>
                <w:shd w:val="clear" w:color="auto" w:fill="FFFFFF"/>
                <w:lang w:val="ro-RO"/>
              </w:rPr>
              <w:t>SECRETAR DE STAT</w:t>
            </w:r>
          </w:p>
          <w:p w:rsidR="006B5404" w:rsidRPr="00BD13FE" w:rsidRDefault="006B5404" w:rsidP="008C7783">
            <w:pPr>
              <w:pStyle w:val="DefaultText1"/>
              <w:shd w:val="clear" w:color="auto" w:fill="FFFFFF"/>
              <w:ind w:right="49"/>
              <w:jc w:val="center"/>
              <w:rPr>
                <w:b/>
                <w:sz w:val="18"/>
                <w:szCs w:val="18"/>
                <w:shd w:val="clear" w:color="auto" w:fill="FFFFFF"/>
                <w:lang w:val="ro-RO"/>
              </w:rPr>
            </w:pPr>
          </w:p>
          <w:p w:rsidR="006B5404" w:rsidRPr="00BD13FE" w:rsidRDefault="006B5404" w:rsidP="008C7783">
            <w:pPr>
              <w:pStyle w:val="DefaultText1"/>
              <w:shd w:val="clear" w:color="auto" w:fill="FFFFFF"/>
              <w:ind w:right="49"/>
              <w:jc w:val="center"/>
              <w:rPr>
                <w:b/>
                <w:sz w:val="18"/>
                <w:szCs w:val="18"/>
                <w:shd w:val="clear" w:color="auto" w:fill="FFFFFF"/>
                <w:lang w:val="ro-RO"/>
              </w:rPr>
            </w:pPr>
            <w:r w:rsidRPr="00BD13FE">
              <w:rPr>
                <w:b/>
                <w:sz w:val="18"/>
                <w:szCs w:val="18"/>
                <w:shd w:val="clear" w:color="auto" w:fill="FFFFFF"/>
                <w:lang w:val="ro-RO"/>
              </w:rPr>
              <w:t>Daniela PESCARU</w:t>
            </w:r>
          </w:p>
        </w:tc>
        <w:tc>
          <w:tcPr>
            <w:tcW w:w="1985" w:type="dxa"/>
            <w:shd w:val="clear" w:color="auto" w:fill="FFFFFF"/>
          </w:tcPr>
          <w:p w:rsidR="008C7783" w:rsidRPr="00BD13FE" w:rsidRDefault="008C7783" w:rsidP="008C7783">
            <w:pPr>
              <w:pStyle w:val="DefaultText1"/>
              <w:jc w:val="center"/>
            </w:pPr>
            <w:r w:rsidRPr="00BD13FE">
              <w:rPr>
                <w:b/>
                <w:sz w:val="18"/>
                <w:szCs w:val="18"/>
                <w:lang w:val="ro-RO"/>
              </w:rPr>
              <w:t>PREȘEDINTE  ANAF</w:t>
            </w:r>
          </w:p>
          <w:p w:rsidR="008C7783" w:rsidRPr="00BD13FE" w:rsidRDefault="008C7783" w:rsidP="008C7783">
            <w:pPr>
              <w:pStyle w:val="DefaultText1"/>
              <w:snapToGrid w:val="0"/>
              <w:ind w:right="49"/>
              <w:jc w:val="center"/>
            </w:pPr>
          </w:p>
          <w:p w:rsidR="006B5404" w:rsidRPr="00BD13FE" w:rsidRDefault="008C7783" w:rsidP="008C7783">
            <w:pPr>
              <w:pStyle w:val="DefaultText1"/>
              <w:snapToGrid w:val="0"/>
              <w:ind w:right="49"/>
              <w:jc w:val="center"/>
              <w:rPr>
                <w:b/>
                <w:szCs w:val="24"/>
                <w:lang w:val="ro-RO"/>
              </w:rPr>
            </w:pPr>
            <w:r w:rsidRPr="00BD13FE">
              <w:rPr>
                <w:b/>
                <w:sz w:val="18"/>
                <w:szCs w:val="18"/>
                <w:lang w:val="ro-RO"/>
              </w:rPr>
              <w:t>Ionuț MIȘA</w:t>
            </w:r>
          </w:p>
        </w:tc>
      </w:tr>
      <w:tr w:rsidR="00BD13FE" w:rsidRPr="00BD13FE" w:rsidTr="00F152C2">
        <w:trPr>
          <w:trHeight w:val="551"/>
        </w:trPr>
        <w:tc>
          <w:tcPr>
            <w:tcW w:w="3392" w:type="dxa"/>
            <w:shd w:val="clear" w:color="auto" w:fill="FFFFFF"/>
          </w:tcPr>
          <w:p w:rsidR="00F152C2" w:rsidRPr="00BD13FE" w:rsidRDefault="00F152C2"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Directia generala de trezorerie si datorie publica</w:t>
            </w:r>
          </w:p>
          <w:p w:rsidR="00F152C2" w:rsidRPr="00BD13FE" w:rsidRDefault="00F152C2" w:rsidP="008C7783">
            <w:pPr>
              <w:pStyle w:val="DefaultText1"/>
              <w:shd w:val="clear" w:color="auto" w:fill="FFFFFF"/>
              <w:rPr>
                <w:b/>
                <w:sz w:val="18"/>
                <w:szCs w:val="18"/>
                <w:shd w:val="clear" w:color="auto" w:fill="FFFFFF"/>
                <w:lang w:val="ro-RO"/>
              </w:rPr>
            </w:pPr>
          </w:p>
          <w:p w:rsidR="00F152C2" w:rsidRPr="00BD13FE" w:rsidRDefault="00F152C2"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Director general,</w:t>
            </w:r>
          </w:p>
          <w:p w:rsidR="00F152C2" w:rsidRPr="00BD13FE" w:rsidRDefault="00F152C2"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Mihaela ENE</w:t>
            </w:r>
          </w:p>
          <w:p w:rsidR="006B5404" w:rsidRPr="00BD13FE" w:rsidRDefault="006B5404" w:rsidP="008C7783">
            <w:pPr>
              <w:pStyle w:val="DefaultText1"/>
              <w:shd w:val="clear" w:color="auto" w:fill="FFFFFF"/>
              <w:jc w:val="center"/>
              <w:rPr>
                <w:b/>
                <w:sz w:val="18"/>
                <w:szCs w:val="18"/>
                <w:shd w:val="clear" w:color="auto" w:fill="FFFFFF"/>
                <w:lang w:val="ro-RO"/>
              </w:rPr>
            </w:pPr>
          </w:p>
        </w:tc>
        <w:tc>
          <w:tcPr>
            <w:tcW w:w="2551" w:type="dxa"/>
            <w:shd w:val="clear" w:color="auto" w:fill="FFFFFF"/>
          </w:tcPr>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Direcția generală legislație Cod fiscal</w:t>
            </w:r>
          </w:p>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și reglementări vamale</w:t>
            </w:r>
          </w:p>
          <w:p w:rsidR="006B5404" w:rsidRPr="00BD13FE" w:rsidRDefault="006B5404" w:rsidP="008C7783">
            <w:pPr>
              <w:pStyle w:val="DefaultText1"/>
              <w:shd w:val="clear" w:color="auto" w:fill="FFFFFF"/>
              <w:jc w:val="center"/>
              <w:rPr>
                <w:b/>
                <w:sz w:val="18"/>
                <w:szCs w:val="18"/>
                <w:shd w:val="clear" w:color="auto" w:fill="FFFFFF"/>
                <w:lang w:val="ro-RO"/>
              </w:rPr>
            </w:pPr>
          </w:p>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Director general,</w:t>
            </w:r>
          </w:p>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Iulian ARDELEANU</w:t>
            </w:r>
          </w:p>
          <w:p w:rsidR="006B5404" w:rsidRPr="00BD13FE" w:rsidRDefault="006B5404" w:rsidP="008C7783">
            <w:pPr>
              <w:pStyle w:val="DefaultText1"/>
              <w:shd w:val="clear" w:color="auto" w:fill="FFFFFF"/>
              <w:jc w:val="center"/>
              <w:rPr>
                <w:b/>
                <w:sz w:val="18"/>
                <w:szCs w:val="18"/>
                <w:shd w:val="clear" w:color="auto" w:fill="FFFFFF"/>
                <w:lang w:val="ro-RO"/>
              </w:rPr>
            </w:pPr>
          </w:p>
          <w:p w:rsidR="006B5404" w:rsidRPr="00BD13FE" w:rsidRDefault="006B5404" w:rsidP="008C7783">
            <w:pPr>
              <w:pStyle w:val="DefaultText1"/>
              <w:shd w:val="clear" w:color="auto" w:fill="FFFFFF"/>
              <w:jc w:val="center"/>
              <w:rPr>
                <w:b/>
                <w:sz w:val="18"/>
                <w:szCs w:val="18"/>
                <w:shd w:val="clear" w:color="auto" w:fill="FFFFFF"/>
                <w:lang w:val="ro-RO"/>
              </w:rPr>
            </w:pPr>
          </w:p>
        </w:tc>
        <w:tc>
          <w:tcPr>
            <w:tcW w:w="2693" w:type="dxa"/>
            <w:shd w:val="clear" w:color="auto" w:fill="FFFFFF"/>
          </w:tcPr>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Direcția generală de sinteză a politicilor bugetare</w:t>
            </w:r>
          </w:p>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Director general</w:t>
            </w:r>
          </w:p>
          <w:p w:rsidR="006B5404" w:rsidRPr="00BD13FE" w:rsidRDefault="006B5404" w:rsidP="008C7783">
            <w:pPr>
              <w:pStyle w:val="DefaultText1"/>
              <w:shd w:val="clear" w:color="auto" w:fill="FFFFFF"/>
              <w:jc w:val="center"/>
              <w:rPr>
                <w:b/>
                <w:sz w:val="18"/>
                <w:szCs w:val="18"/>
                <w:shd w:val="clear" w:color="auto" w:fill="FFFFFF"/>
                <w:lang w:val="ro-RO"/>
              </w:rPr>
            </w:pPr>
          </w:p>
          <w:p w:rsidR="006B5404" w:rsidRPr="00BD13FE" w:rsidRDefault="006B5404" w:rsidP="008C7783">
            <w:pPr>
              <w:pStyle w:val="DefaultText1"/>
              <w:shd w:val="clear" w:color="auto" w:fill="FFFFFF"/>
              <w:jc w:val="center"/>
              <w:rPr>
                <w:sz w:val="18"/>
                <w:szCs w:val="18"/>
                <w:shd w:val="clear" w:color="auto" w:fill="FFFFFF"/>
              </w:rPr>
            </w:pPr>
            <w:r w:rsidRPr="00BD13FE">
              <w:rPr>
                <w:b/>
                <w:sz w:val="18"/>
                <w:szCs w:val="18"/>
                <w:shd w:val="clear" w:color="auto" w:fill="FFFFFF"/>
                <w:lang w:val="ro-RO"/>
              </w:rPr>
              <w:t>Ioana BURLĂ</w:t>
            </w:r>
          </w:p>
        </w:tc>
        <w:tc>
          <w:tcPr>
            <w:tcW w:w="1985" w:type="dxa"/>
            <w:shd w:val="clear" w:color="auto" w:fill="FFFFFF"/>
          </w:tcPr>
          <w:p w:rsidR="006B5404" w:rsidRPr="00BD13FE" w:rsidRDefault="006B5404" w:rsidP="008C7783">
            <w:pPr>
              <w:pStyle w:val="DefaultText1"/>
              <w:shd w:val="clear" w:color="auto" w:fill="FFFFFF"/>
              <w:snapToGrid w:val="0"/>
              <w:jc w:val="center"/>
              <w:rPr>
                <w:b/>
                <w:sz w:val="18"/>
                <w:szCs w:val="18"/>
                <w:shd w:val="clear" w:color="auto" w:fill="FFFFFF"/>
                <w:lang w:val="ro-RO"/>
              </w:rPr>
            </w:pPr>
          </w:p>
        </w:tc>
      </w:tr>
      <w:tr w:rsidR="00BD13FE" w:rsidRPr="00BD13FE" w:rsidTr="00F152C2">
        <w:tc>
          <w:tcPr>
            <w:tcW w:w="3392" w:type="dxa"/>
            <w:shd w:val="clear" w:color="auto" w:fill="FFFFFF"/>
          </w:tcPr>
          <w:p w:rsidR="00BD13FE" w:rsidRPr="00BD13FE" w:rsidRDefault="00BD13FE" w:rsidP="00BD13FE">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 xml:space="preserve">Directia generala </w:t>
            </w:r>
            <w:r>
              <w:rPr>
                <w:b/>
                <w:sz w:val="18"/>
                <w:szCs w:val="18"/>
                <w:shd w:val="clear" w:color="auto" w:fill="FFFFFF"/>
                <w:lang w:val="ro-RO"/>
              </w:rPr>
              <w:t>ajutor de stat</w:t>
            </w:r>
          </w:p>
          <w:p w:rsidR="00BD13FE" w:rsidRPr="00BD13FE" w:rsidRDefault="00BD13FE" w:rsidP="00BD13FE">
            <w:pPr>
              <w:pStyle w:val="DefaultText1"/>
              <w:shd w:val="clear" w:color="auto" w:fill="FFFFFF"/>
              <w:jc w:val="center"/>
              <w:rPr>
                <w:b/>
                <w:sz w:val="18"/>
                <w:szCs w:val="18"/>
                <w:shd w:val="clear" w:color="auto" w:fill="FFFFFF"/>
                <w:lang w:val="ro-RO"/>
              </w:rPr>
            </w:pPr>
          </w:p>
          <w:p w:rsidR="00BD13FE" w:rsidRPr="00BD13FE" w:rsidRDefault="00BD13FE" w:rsidP="00BD13FE">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Director general,</w:t>
            </w:r>
          </w:p>
          <w:p w:rsidR="006B5404" w:rsidRPr="00BD13FE" w:rsidRDefault="00BD13FE" w:rsidP="00BD13FE">
            <w:pPr>
              <w:pStyle w:val="DefaultText1"/>
              <w:shd w:val="clear" w:color="auto" w:fill="FFFFFF"/>
              <w:jc w:val="center"/>
              <w:rPr>
                <w:b/>
                <w:sz w:val="18"/>
                <w:szCs w:val="18"/>
                <w:shd w:val="clear" w:color="auto" w:fill="FFFFFF"/>
                <w:lang w:val="ro-RO"/>
              </w:rPr>
            </w:pPr>
            <w:r>
              <w:rPr>
                <w:b/>
                <w:sz w:val="18"/>
                <w:szCs w:val="18"/>
                <w:shd w:val="clear" w:color="auto" w:fill="FFFFFF"/>
                <w:lang w:val="ro-RO"/>
              </w:rPr>
              <w:t>Irina AVRAM</w:t>
            </w:r>
          </w:p>
        </w:tc>
        <w:tc>
          <w:tcPr>
            <w:tcW w:w="2551" w:type="dxa"/>
            <w:shd w:val="clear" w:color="auto" w:fill="FFFFFF"/>
          </w:tcPr>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p.Director general adjunct</w:t>
            </w:r>
          </w:p>
          <w:p w:rsidR="006B5404" w:rsidRPr="00BD13FE" w:rsidRDefault="006B5404" w:rsidP="008C7783">
            <w:pPr>
              <w:pStyle w:val="DefaultText1"/>
              <w:shd w:val="clear" w:color="auto" w:fill="FFFFFF"/>
              <w:jc w:val="center"/>
              <w:rPr>
                <w:b/>
                <w:sz w:val="18"/>
                <w:szCs w:val="18"/>
                <w:shd w:val="clear" w:color="auto" w:fill="FFFFFF"/>
                <w:lang w:val="ro-RO"/>
              </w:rPr>
            </w:pPr>
          </w:p>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Daniela TĂNASE</w:t>
            </w:r>
          </w:p>
          <w:p w:rsidR="006B5404" w:rsidRPr="00BD13FE" w:rsidRDefault="006B5404"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Șef serviciu</w:t>
            </w:r>
          </w:p>
          <w:p w:rsidR="006B5404" w:rsidRPr="00BD13FE" w:rsidRDefault="006B5404" w:rsidP="008C7783">
            <w:pPr>
              <w:pStyle w:val="DefaultText1"/>
              <w:shd w:val="clear" w:color="auto" w:fill="FFFFFF"/>
              <w:jc w:val="center"/>
              <w:rPr>
                <w:b/>
                <w:sz w:val="18"/>
                <w:szCs w:val="18"/>
                <w:shd w:val="clear" w:color="auto" w:fill="FFFFFF"/>
                <w:lang w:val="ro-RO"/>
              </w:rPr>
            </w:pPr>
          </w:p>
          <w:p w:rsidR="008C7783" w:rsidRPr="00BD13FE" w:rsidRDefault="008C7783"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Director general adjunct</w:t>
            </w:r>
          </w:p>
          <w:p w:rsidR="008C7783" w:rsidRPr="00BD13FE" w:rsidRDefault="008C7783"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Elena IORDACHE</w:t>
            </w:r>
          </w:p>
          <w:p w:rsidR="008C7783" w:rsidRPr="00BD13FE" w:rsidRDefault="008C7783" w:rsidP="008C7783">
            <w:pPr>
              <w:pStyle w:val="DefaultText1"/>
              <w:shd w:val="clear" w:color="auto" w:fill="FFFFFF"/>
              <w:jc w:val="center"/>
              <w:rPr>
                <w:b/>
                <w:sz w:val="18"/>
                <w:szCs w:val="18"/>
                <w:shd w:val="clear" w:color="auto" w:fill="FFFFFF"/>
                <w:lang w:val="ro-RO"/>
              </w:rPr>
            </w:pPr>
          </w:p>
          <w:p w:rsidR="008C7783" w:rsidRPr="00BD13FE" w:rsidRDefault="008C7783" w:rsidP="008C7783">
            <w:pPr>
              <w:pStyle w:val="DefaultText1"/>
              <w:shd w:val="clear" w:color="auto" w:fill="FFFFFF"/>
              <w:jc w:val="center"/>
              <w:rPr>
                <w:b/>
                <w:sz w:val="18"/>
                <w:szCs w:val="18"/>
                <w:shd w:val="clear" w:color="auto" w:fill="FFFFFF"/>
                <w:lang w:val="ro-RO"/>
              </w:rPr>
            </w:pPr>
          </w:p>
          <w:p w:rsidR="008C7783" w:rsidRPr="00BD13FE" w:rsidRDefault="008C7783"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p.Director general adjunct</w:t>
            </w:r>
          </w:p>
          <w:p w:rsidR="008C7783" w:rsidRPr="00BD13FE" w:rsidRDefault="008C7783"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Nicoleta CIUBUC</w:t>
            </w:r>
          </w:p>
          <w:p w:rsidR="008C7783" w:rsidRPr="00BD13FE" w:rsidRDefault="008C7783" w:rsidP="008C7783">
            <w:pPr>
              <w:pStyle w:val="DefaultText1"/>
              <w:shd w:val="clear" w:color="auto" w:fill="FFFFFF"/>
              <w:jc w:val="center"/>
              <w:rPr>
                <w:b/>
                <w:sz w:val="18"/>
                <w:szCs w:val="18"/>
                <w:shd w:val="clear" w:color="auto" w:fill="FFFFFF"/>
                <w:lang w:val="ro-RO"/>
              </w:rPr>
            </w:pPr>
            <w:r w:rsidRPr="00BD13FE">
              <w:rPr>
                <w:b/>
                <w:sz w:val="18"/>
                <w:szCs w:val="18"/>
                <w:shd w:val="clear" w:color="auto" w:fill="FFFFFF"/>
                <w:lang w:val="ro-RO"/>
              </w:rPr>
              <w:t>expert superior</w:t>
            </w:r>
          </w:p>
          <w:p w:rsidR="006B5404" w:rsidRPr="00BD13FE" w:rsidRDefault="006B5404" w:rsidP="008C7783">
            <w:pPr>
              <w:pStyle w:val="DefaultText1"/>
              <w:shd w:val="clear" w:color="auto" w:fill="FFFFFF"/>
              <w:jc w:val="center"/>
              <w:rPr>
                <w:b/>
                <w:sz w:val="18"/>
                <w:szCs w:val="18"/>
                <w:shd w:val="clear" w:color="auto" w:fill="FFFFFF"/>
                <w:lang w:val="ro-RO"/>
              </w:rPr>
            </w:pPr>
          </w:p>
        </w:tc>
        <w:tc>
          <w:tcPr>
            <w:tcW w:w="2693" w:type="dxa"/>
            <w:shd w:val="clear" w:color="auto" w:fill="FFFFFF"/>
          </w:tcPr>
          <w:p w:rsidR="006B5404" w:rsidRPr="00BD13FE" w:rsidRDefault="006B5404" w:rsidP="008C7783">
            <w:pPr>
              <w:pStyle w:val="DefaultText1"/>
              <w:shd w:val="clear" w:color="auto" w:fill="FFFFFF"/>
              <w:ind w:right="49"/>
              <w:jc w:val="center"/>
              <w:rPr>
                <w:b/>
                <w:sz w:val="18"/>
                <w:szCs w:val="18"/>
                <w:shd w:val="clear" w:color="auto" w:fill="FFFFFF"/>
                <w:lang w:val="ro-RO"/>
              </w:rPr>
            </w:pPr>
          </w:p>
          <w:p w:rsidR="006B5404" w:rsidRPr="00BD13FE" w:rsidRDefault="006B5404" w:rsidP="008C7783">
            <w:pPr>
              <w:pStyle w:val="DefaultText1"/>
              <w:shd w:val="clear" w:color="auto" w:fill="FFFFFF"/>
              <w:ind w:right="49"/>
              <w:jc w:val="center"/>
              <w:rPr>
                <w:b/>
                <w:sz w:val="18"/>
                <w:szCs w:val="18"/>
                <w:shd w:val="clear" w:color="auto" w:fill="FFFFFF"/>
                <w:lang w:val="ro-RO"/>
              </w:rPr>
            </w:pPr>
          </w:p>
          <w:p w:rsidR="006B5404" w:rsidRPr="00BD13FE" w:rsidRDefault="006B5404" w:rsidP="008C7783">
            <w:pPr>
              <w:pStyle w:val="DefaultText1"/>
              <w:shd w:val="clear" w:color="auto" w:fill="FFFFFF"/>
              <w:ind w:right="49"/>
              <w:jc w:val="center"/>
              <w:rPr>
                <w:b/>
                <w:sz w:val="18"/>
                <w:szCs w:val="18"/>
                <w:shd w:val="clear" w:color="auto" w:fill="FFFFFF"/>
                <w:lang w:val="ro-RO"/>
              </w:rPr>
            </w:pPr>
          </w:p>
        </w:tc>
        <w:tc>
          <w:tcPr>
            <w:tcW w:w="1985" w:type="dxa"/>
            <w:shd w:val="clear" w:color="auto" w:fill="FFFFFF"/>
          </w:tcPr>
          <w:p w:rsidR="008C7783" w:rsidRPr="00BD13FE" w:rsidRDefault="008C7783" w:rsidP="008C7783">
            <w:pPr>
              <w:pStyle w:val="DefaultText1"/>
              <w:shd w:val="clear" w:color="auto" w:fill="FFFFFF"/>
              <w:snapToGrid w:val="0"/>
              <w:jc w:val="center"/>
              <w:rPr>
                <w:b/>
                <w:sz w:val="18"/>
                <w:szCs w:val="18"/>
                <w:shd w:val="clear" w:color="auto" w:fill="FFFFFF"/>
                <w:lang w:val="ro-RO"/>
              </w:rPr>
            </w:pPr>
            <w:r w:rsidRPr="00BD13FE">
              <w:rPr>
                <w:b/>
                <w:sz w:val="18"/>
                <w:szCs w:val="18"/>
                <w:shd w:val="clear" w:color="auto" w:fill="FFFFFF"/>
                <w:lang w:val="ro-RO"/>
              </w:rPr>
              <w:t>Direcția generală juridică</w:t>
            </w:r>
          </w:p>
          <w:p w:rsidR="008C7783" w:rsidRPr="00BD13FE" w:rsidRDefault="008C7783" w:rsidP="008C7783">
            <w:pPr>
              <w:pStyle w:val="DefaultText1"/>
              <w:shd w:val="clear" w:color="auto" w:fill="FFFFFF"/>
              <w:snapToGrid w:val="0"/>
              <w:jc w:val="center"/>
              <w:rPr>
                <w:b/>
                <w:sz w:val="18"/>
                <w:szCs w:val="18"/>
                <w:shd w:val="clear" w:color="auto" w:fill="FFFFFF"/>
                <w:lang w:val="ro-RO"/>
              </w:rPr>
            </w:pPr>
          </w:p>
          <w:p w:rsidR="008C7783" w:rsidRPr="00BD13FE" w:rsidRDefault="008C7783" w:rsidP="008C7783">
            <w:pPr>
              <w:pStyle w:val="DefaultText1"/>
              <w:shd w:val="clear" w:color="auto" w:fill="FFFFFF"/>
              <w:snapToGrid w:val="0"/>
              <w:jc w:val="center"/>
              <w:rPr>
                <w:b/>
                <w:sz w:val="18"/>
                <w:szCs w:val="18"/>
                <w:shd w:val="clear" w:color="auto" w:fill="FFFFFF"/>
                <w:lang w:val="ro-RO"/>
              </w:rPr>
            </w:pPr>
            <w:r w:rsidRPr="00BD13FE">
              <w:rPr>
                <w:b/>
                <w:sz w:val="18"/>
                <w:szCs w:val="18"/>
                <w:shd w:val="clear" w:color="auto" w:fill="FFFFFF"/>
                <w:lang w:val="ro-RO"/>
              </w:rPr>
              <w:t>Director general,</w:t>
            </w:r>
          </w:p>
          <w:p w:rsidR="006B5404" w:rsidRPr="00BD13FE" w:rsidRDefault="008C7783" w:rsidP="008C7783">
            <w:pPr>
              <w:pStyle w:val="DefaultText1"/>
              <w:shd w:val="clear" w:color="auto" w:fill="FFFFFF"/>
              <w:snapToGrid w:val="0"/>
              <w:jc w:val="center"/>
              <w:rPr>
                <w:b/>
                <w:sz w:val="18"/>
                <w:szCs w:val="18"/>
                <w:shd w:val="clear" w:color="auto" w:fill="FFFFFF"/>
                <w:lang w:val="ro-RO"/>
              </w:rPr>
            </w:pPr>
            <w:r w:rsidRPr="00BD13FE">
              <w:rPr>
                <w:b/>
                <w:sz w:val="18"/>
                <w:szCs w:val="18"/>
                <w:shd w:val="clear" w:color="auto" w:fill="FFFFFF"/>
                <w:lang w:val="ro-RO"/>
              </w:rPr>
              <w:t>Ciprian BADEA</w:t>
            </w:r>
          </w:p>
        </w:tc>
      </w:tr>
      <w:tr w:rsidR="00BD13FE" w:rsidRPr="00BD13FE" w:rsidTr="00F152C2">
        <w:tc>
          <w:tcPr>
            <w:tcW w:w="3392" w:type="dxa"/>
            <w:shd w:val="clear" w:color="auto" w:fill="FFFFFF"/>
          </w:tcPr>
          <w:p w:rsidR="008C7783" w:rsidRPr="00BD13FE" w:rsidRDefault="008C7783" w:rsidP="008C7783">
            <w:pPr>
              <w:pStyle w:val="DefaultText1"/>
              <w:shd w:val="clear" w:color="auto" w:fill="FFFFFF"/>
              <w:jc w:val="center"/>
              <w:rPr>
                <w:b/>
                <w:sz w:val="18"/>
                <w:szCs w:val="18"/>
                <w:shd w:val="clear" w:color="auto" w:fill="FFFFFF"/>
                <w:lang w:val="ro-RO"/>
              </w:rPr>
            </w:pPr>
          </w:p>
        </w:tc>
        <w:tc>
          <w:tcPr>
            <w:tcW w:w="2551" w:type="dxa"/>
            <w:shd w:val="clear" w:color="auto" w:fill="FFFFFF"/>
          </w:tcPr>
          <w:p w:rsidR="008C7783" w:rsidRPr="00BD13FE" w:rsidRDefault="008C7783" w:rsidP="008C7783">
            <w:pPr>
              <w:jc w:val="center"/>
              <w:rPr>
                <w:rFonts w:ascii="Times New Roman" w:hAnsi="Times New Roman" w:cs="Times New Roman"/>
                <w:b/>
                <w:sz w:val="18"/>
                <w:szCs w:val="18"/>
              </w:rPr>
            </w:pPr>
            <w:r w:rsidRPr="00BD13FE">
              <w:rPr>
                <w:rFonts w:ascii="Times New Roman" w:hAnsi="Times New Roman" w:cs="Times New Roman"/>
                <w:b/>
                <w:sz w:val="18"/>
                <w:szCs w:val="18"/>
              </w:rPr>
              <w:t>Direcția generală legislație Cod de procedură fiscală, reglementări nefiscale și contabile</w:t>
            </w:r>
          </w:p>
          <w:p w:rsidR="008C7783" w:rsidRPr="00BD13FE" w:rsidRDefault="008C7783" w:rsidP="008C7783">
            <w:pPr>
              <w:jc w:val="center"/>
              <w:rPr>
                <w:rFonts w:ascii="Times New Roman" w:hAnsi="Times New Roman" w:cs="Times New Roman"/>
                <w:b/>
                <w:sz w:val="18"/>
                <w:szCs w:val="18"/>
              </w:rPr>
            </w:pPr>
            <w:r w:rsidRPr="00BD13FE">
              <w:rPr>
                <w:rFonts w:ascii="Times New Roman" w:hAnsi="Times New Roman" w:cs="Times New Roman"/>
                <w:b/>
                <w:sz w:val="18"/>
                <w:szCs w:val="18"/>
              </w:rPr>
              <w:t>Director general</w:t>
            </w:r>
          </w:p>
          <w:p w:rsidR="008C7783" w:rsidRPr="00BD13FE" w:rsidRDefault="008C7783" w:rsidP="0096471F">
            <w:pPr>
              <w:tabs>
                <w:tab w:val="left" w:pos="585"/>
              </w:tabs>
              <w:rPr>
                <w:rFonts w:ascii="Times New Roman" w:hAnsi="Times New Roman" w:cs="Times New Roman"/>
                <w:b/>
                <w:sz w:val="18"/>
                <w:szCs w:val="18"/>
              </w:rPr>
            </w:pPr>
          </w:p>
          <w:p w:rsidR="008C7783" w:rsidRDefault="008C7783" w:rsidP="008C7783">
            <w:pPr>
              <w:pStyle w:val="DefaultText1"/>
              <w:shd w:val="clear" w:color="auto" w:fill="FFFFFF"/>
              <w:jc w:val="center"/>
              <w:rPr>
                <w:b/>
                <w:sz w:val="18"/>
                <w:szCs w:val="18"/>
              </w:rPr>
            </w:pPr>
            <w:proofErr w:type="spellStart"/>
            <w:r w:rsidRPr="00BD13FE">
              <w:rPr>
                <w:b/>
                <w:sz w:val="18"/>
                <w:szCs w:val="18"/>
              </w:rPr>
              <w:t>Doru</w:t>
            </w:r>
            <w:proofErr w:type="spellEnd"/>
            <w:r w:rsidRPr="00BD13FE">
              <w:rPr>
                <w:b/>
                <w:sz w:val="18"/>
                <w:szCs w:val="18"/>
              </w:rPr>
              <w:t xml:space="preserve"> </w:t>
            </w:r>
            <w:proofErr w:type="spellStart"/>
            <w:r w:rsidRPr="00BD13FE">
              <w:rPr>
                <w:b/>
                <w:sz w:val="18"/>
                <w:szCs w:val="18"/>
              </w:rPr>
              <w:t>Petru</w:t>
            </w:r>
            <w:proofErr w:type="spellEnd"/>
            <w:r w:rsidRPr="00BD13FE">
              <w:rPr>
                <w:b/>
                <w:sz w:val="18"/>
                <w:szCs w:val="18"/>
              </w:rPr>
              <w:t xml:space="preserve"> DUDAȘ</w:t>
            </w:r>
          </w:p>
          <w:p w:rsidR="0096471F" w:rsidRPr="00BD13FE" w:rsidRDefault="0096471F" w:rsidP="008C7783">
            <w:pPr>
              <w:pStyle w:val="DefaultText1"/>
              <w:shd w:val="clear" w:color="auto" w:fill="FFFFFF"/>
              <w:jc w:val="center"/>
              <w:rPr>
                <w:b/>
                <w:sz w:val="18"/>
                <w:szCs w:val="18"/>
                <w:shd w:val="clear" w:color="auto" w:fill="FFFFFF"/>
                <w:lang w:val="ro-RO"/>
              </w:rPr>
            </w:pPr>
          </w:p>
        </w:tc>
        <w:tc>
          <w:tcPr>
            <w:tcW w:w="2693" w:type="dxa"/>
            <w:shd w:val="clear" w:color="auto" w:fill="FFFFFF"/>
          </w:tcPr>
          <w:p w:rsidR="008C7783" w:rsidRPr="00BD13FE" w:rsidRDefault="008C7783" w:rsidP="008C7783">
            <w:pPr>
              <w:pStyle w:val="DefaultText1"/>
              <w:shd w:val="clear" w:color="auto" w:fill="FFFFFF"/>
              <w:ind w:right="49"/>
              <w:jc w:val="center"/>
              <w:rPr>
                <w:b/>
                <w:sz w:val="18"/>
                <w:szCs w:val="18"/>
                <w:shd w:val="clear" w:color="auto" w:fill="FFFFFF"/>
                <w:lang w:val="ro-RO"/>
              </w:rPr>
            </w:pPr>
          </w:p>
        </w:tc>
        <w:tc>
          <w:tcPr>
            <w:tcW w:w="1985" w:type="dxa"/>
            <w:shd w:val="clear" w:color="auto" w:fill="FFFFFF"/>
          </w:tcPr>
          <w:p w:rsidR="008C7783" w:rsidRPr="00BD13FE" w:rsidRDefault="008C7783" w:rsidP="008C7783">
            <w:pPr>
              <w:pStyle w:val="DefaultText1"/>
              <w:shd w:val="clear" w:color="auto" w:fill="FFFFFF"/>
              <w:snapToGrid w:val="0"/>
              <w:jc w:val="center"/>
              <w:rPr>
                <w:b/>
                <w:sz w:val="18"/>
                <w:szCs w:val="18"/>
                <w:shd w:val="clear" w:color="auto" w:fill="FFFFFF"/>
                <w:lang w:val="ro-RO"/>
              </w:rPr>
            </w:pPr>
            <w:r w:rsidRPr="00BD13FE">
              <w:rPr>
                <w:b/>
                <w:sz w:val="18"/>
                <w:szCs w:val="18"/>
                <w:shd w:val="clear" w:color="auto" w:fill="FFFFFF"/>
                <w:lang w:val="ro-RO"/>
              </w:rPr>
              <w:t xml:space="preserve">Direcția generală de politici, analiză și cercetare în domeniul finanțelor publice </w:t>
            </w:r>
          </w:p>
          <w:p w:rsidR="008C7783" w:rsidRPr="00BD13FE" w:rsidRDefault="008C7783" w:rsidP="008C7783">
            <w:pPr>
              <w:pStyle w:val="DefaultText1"/>
              <w:shd w:val="clear" w:color="auto" w:fill="FFFFFF"/>
              <w:snapToGrid w:val="0"/>
              <w:jc w:val="center"/>
              <w:rPr>
                <w:b/>
                <w:sz w:val="18"/>
                <w:szCs w:val="18"/>
                <w:shd w:val="clear" w:color="auto" w:fill="FFFFFF"/>
                <w:lang w:val="ro-RO"/>
              </w:rPr>
            </w:pPr>
            <w:r w:rsidRPr="00BD13FE">
              <w:rPr>
                <w:b/>
                <w:sz w:val="18"/>
                <w:szCs w:val="18"/>
                <w:shd w:val="clear" w:color="auto" w:fill="FFFFFF"/>
                <w:lang w:val="ro-RO"/>
              </w:rPr>
              <w:t>Director general,</w:t>
            </w:r>
          </w:p>
          <w:p w:rsidR="008C7783" w:rsidRPr="00BD13FE" w:rsidRDefault="008C7783" w:rsidP="008C7783">
            <w:pPr>
              <w:pStyle w:val="DefaultText1"/>
              <w:shd w:val="clear" w:color="auto" w:fill="FFFFFF"/>
              <w:snapToGrid w:val="0"/>
              <w:jc w:val="center"/>
              <w:rPr>
                <w:b/>
                <w:sz w:val="18"/>
                <w:szCs w:val="18"/>
                <w:shd w:val="clear" w:color="auto" w:fill="FFFFFF"/>
                <w:lang w:val="ro-RO"/>
              </w:rPr>
            </w:pPr>
          </w:p>
          <w:p w:rsidR="008C7783" w:rsidRPr="00BD13FE" w:rsidRDefault="008C7783" w:rsidP="008C7783">
            <w:pPr>
              <w:pStyle w:val="DefaultText1"/>
              <w:shd w:val="clear" w:color="auto" w:fill="FFFFFF"/>
              <w:snapToGrid w:val="0"/>
              <w:jc w:val="center"/>
              <w:rPr>
                <w:b/>
                <w:sz w:val="18"/>
                <w:szCs w:val="18"/>
                <w:shd w:val="clear" w:color="auto" w:fill="FFFFFF"/>
                <w:lang w:val="ro-RO"/>
              </w:rPr>
            </w:pPr>
            <w:r w:rsidRPr="00BD13FE">
              <w:rPr>
                <w:b/>
                <w:sz w:val="18"/>
                <w:szCs w:val="18"/>
                <w:shd w:val="clear" w:color="auto" w:fill="FFFFFF"/>
                <w:lang w:val="ro-RO"/>
              </w:rPr>
              <w:t>Dan MATEI</w:t>
            </w:r>
          </w:p>
        </w:tc>
      </w:tr>
      <w:tr w:rsidR="00E610FB" w:rsidRPr="00BD13FE" w:rsidTr="00A92699">
        <w:tc>
          <w:tcPr>
            <w:tcW w:w="5943" w:type="dxa"/>
            <w:gridSpan w:val="2"/>
            <w:shd w:val="clear" w:color="auto" w:fill="FFFFFF"/>
          </w:tcPr>
          <w:p w:rsidR="00E610FB" w:rsidRPr="00E610FB" w:rsidRDefault="00E610FB" w:rsidP="00E610FB">
            <w:pPr>
              <w:pStyle w:val="DefaultText1"/>
              <w:shd w:val="clear" w:color="auto" w:fill="FFFFFF"/>
              <w:jc w:val="center"/>
              <w:rPr>
                <w:b/>
                <w:sz w:val="18"/>
                <w:szCs w:val="18"/>
                <w:shd w:val="clear" w:color="auto" w:fill="FFFFFF"/>
                <w:lang w:val="ro-RO"/>
              </w:rPr>
            </w:pPr>
          </w:p>
          <w:p w:rsidR="00E610FB" w:rsidRPr="00E610FB" w:rsidRDefault="00E610FB" w:rsidP="00E610FB">
            <w:pPr>
              <w:pStyle w:val="DefaultText1"/>
              <w:shd w:val="clear" w:color="auto" w:fill="FFFFFF"/>
              <w:jc w:val="center"/>
              <w:rPr>
                <w:b/>
                <w:sz w:val="18"/>
                <w:szCs w:val="18"/>
                <w:shd w:val="clear" w:color="auto" w:fill="FFFFFF"/>
                <w:lang w:val="ro-RO"/>
              </w:rPr>
            </w:pPr>
            <w:r w:rsidRPr="00E610FB">
              <w:rPr>
                <w:b/>
                <w:sz w:val="18"/>
                <w:szCs w:val="18"/>
                <w:shd w:val="clear" w:color="auto" w:fill="FFFFFF"/>
                <w:lang w:val="ro-RO"/>
              </w:rPr>
              <w:t>Gheorghița TOMA, Șef serviciu, DGLCFRV</w:t>
            </w:r>
          </w:p>
          <w:p w:rsidR="00E610FB" w:rsidRPr="00E610FB" w:rsidRDefault="00E610FB" w:rsidP="00E610FB">
            <w:pPr>
              <w:pStyle w:val="DefaultText1"/>
              <w:shd w:val="clear" w:color="auto" w:fill="FFFFFF"/>
              <w:jc w:val="center"/>
              <w:rPr>
                <w:b/>
                <w:sz w:val="18"/>
                <w:szCs w:val="18"/>
                <w:shd w:val="clear" w:color="auto" w:fill="FFFFFF"/>
                <w:lang w:val="ro-RO"/>
              </w:rPr>
            </w:pPr>
            <w:r w:rsidRPr="00E610FB">
              <w:rPr>
                <w:b/>
                <w:sz w:val="18"/>
                <w:szCs w:val="18"/>
                <w:shd w:val="clear" w:color="auto" w:fill="FFFFFF"/>
                <w:lang w:val="ro-RO"/>
              </w:rPr>
              <w:t>Marina OPRAN, Șef serviciu, DGLCFRV</w:t>
            </w:r>
          </w:p>
          <w:p w:rsidR="00E610FB" w:rsidRPr="00E610FB" w:rsidRDefault="00E610FB" w:rsidP="00E610FB">
            <w:pPr>
              <w:pStyle w:val="DefaultText1"/>
              <w:shd w:val="clear" w:color="auto" w:fill="FFFFFF"/>
              <w:jc w:val="center"/>
              <w:rPr>
                <w:b/>
                <w:sz w:val="18"/>
                <w:szCs w:val="18"/>
                <w:shd w:val="clear" w:color="auto" w:fill="FFFFFF"/>
                <w:lang w:val="ro-RO"/>
              </w:rPr>
            </w:pPr>
            <w:r w:rsidRPr="00E610FB">
              <w:rPr>
                <w:b/>
                <w:sz w:val="18"/>
                <w:szCs w:val="18"/>
                <w:shd w:val="clear" w:color="auto" w:fill="FFFFFF"/>
                <w:lang w:val="ro-RO"/>
              </w:rPr>
              <w:t>Antoaneta NEAGOE-MARUSEC, Șef serviciu, DGLCFRV</w:t>
            </w:r>
          </w:p>
          <w:p w:rsidR="00E610FB" w:rsidRDefault="00E610FB" w:rsidP="008C7783">
            <w:pPr>
              <w:jc w:val="center"/>
              <w:rPr>
                <w:b/>
                <w:sz w:val="18"/>
                <w:szCs w:val="18"/>
                <w:shd w:val="clear" w:color="auto" w:fill="FFFFFF"/>
              </w:rPr>
            </w:pPr>
            <w:r w:rsidRPr="00E610FB">
              <w:rPr>
                <w:b/>
                <w:sz w:val="18"/>
                <w:szCs w:val="18"/>
                <w:shd w:val="clear" w:color="auto" w:fill="FFFFFF"/>
              </w:rPr>
              <w:t>Ionuț COJOCARU, Șef serviciu, DGLCPFRNC</w:t>
            </w:r>
          </w:p>
          <w:p w:rsidR="00E610FB" w:rsidRPr="00BD13FE" w:rsidRDefault="00E610FB" w:rsidP="008C7783">
            <w:pPr>
              <w:jc w:val="center"/>
              <w:rPr>
                <w:rFonts w:ascii="Times New Roman" w:hAnsi="Times New Roman" w:cs="Times New Roman"/>
                <w:b/>
                <w:sz w:val="18"/>
                <w:szCs w:val="18"/>
              </w:rPr>
            </w:pPr>
          </w:p>
        </w:tc>
        <w:tc>
          <w:tcPr>
            <w:tcW w:w="2693" w:type="dxa"/>
            <w:shd w:val="clear" w:color="auto" w:fill="FFFFFF"/>
          </w:tcPr>
          <w:p w:rsidR="00E610FB" w:rsidRPr="00BD13FE" w:rsidRDefault="00E610FB" w:rsidP="008C7783">
            <w:pPr>
              <w:pStyle w:val="DefaultText1"/>
              <w:shd w:val="clear" w:color="auto" w:fill="FFFFFF"/>
              <w:ind w:right="49"/>
              <w:jc w:val="center"/>
              <w:rPr>
                <w:b/>
                <w:sz w:val="18"/>
                <w:szCs w:val="18"/>
                <w:shd w:val="clear" w:color="auto" w:fill="FFFFFF"/>
                <w:lang w:val="ro-RO"/>
              </w:rPr>
            </w:pPr>
          </w:p>
        </w:tc>
        <w:tc>
          <w:tcPr>
            <w:tcW w:w="1985" w:type="dxa"/>
            <w:shd w:val="clear" w:color="auto" w:fill="FFFFFF"/>
          </w:tcPr>
          <w:p w:rsidR="00E610FB" w:rsidRPr="00BD13FE" w:rsidRDefault="00E610FB" w:rsidP="008C7783">
            <w:pPr>
              <w:pStyle w:val="DefaultText1"/>
              <w:shd w:val="clear" w:color="auto" w:fill="FFFFFF"/>
              <w:snapToGrid w:val="0"/>
              <w:jc w:val="center"/>
              <w:rPr>
                <w:b/>
                <w:sz w:val="18"/>
                <w:szCs w:val="18"/>
                <w:shd w:val="clear" w:color="auto" w:fill="FFFFFF"/>
                <w:lang w:val="ro-RO"/>
              </w:rPr>
            </w:pPr>
          </w:p>
        </w:tc>
      </w:tr>
    </w:tbl>
    <w:p w:rsidR="00C71834" w:rsidRPr="00BD13FE" w:rsidRDefault="00C71834" w:rsidP="008B405A">
      <w:pPr>
        <w:spacing w:line="360" w:lineRule="auto"/>
        <w:rPr>
          <w:rFonts w:ascii="Times New Roman" w:hAnsi="Times New Roman" w:cs="Times New Roman"/>
          <w:sz w:val="24"/>
          <w:szCs w:val="24"/>
        </w:rPr>
      </w:pPr>
    </w:p>
    <w:sectPr w:rsidR="00C71834" w:rsidRPr="00BD13FE" w:rsidSect="004368C6">
      <w:foot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DD" w:rsidRDefault="00E653DD" w:rsidP="00E10817">
      <w:r>
        <w:separator/>
      </w:r>
    </w:p>
  </w:endnote>
  <w:endnote w:type="continuationSeparator" w:id="0">
    <w:p w:rsidR="00E653DD" w:rsidRDefault="00E653DD" w:rsidP="00E1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17" w:rsidRDefault="00E10817">
    <w:pPr>
      <w:pStyle w:val="Footer"/>
      <w:jc w:val="center"/>
    </w:pPr>
  </w:p>
  <w:p w:rsidR="00E10817" w:rsidRDefault="00E1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DD" w:rsidRDefault="00E653DD" w:rsidP="00E10817">
      <w:r>
        <w:separator/>
      </w:r>
    </w:p>
  </w:footnote>
  <w:footnote w:type="continuationSeparator" w:id="0">
    <w:p w:rsidR="00E653DD" w:rsidRDefault="00E653DD" w:rsidP="00E10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405"/>
        </w:tabs>
        <w:ind w:left="405" w:hanging="405"/>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3">
    <w:nsid w:val="00000005"/>
    <w:multiLevelType w:val="singleLevel"/>
    <w:tmpl w:val="00000005"/>
    <w:name w:val="WW8Num5"/>
    <w:lvl w:ilvl="0">
      <w:start w:val="1"/>
      <w:numFmt w:val="lowerRoman"/>
      <w:lvlText w:val="%1."/>
      <w:lvlJc w:val="right"/>
      <w:pPr>
        <w:tabs>
          <w:tab w:val="num" w:pos="0"/>
        </w:tabs>
        <w:ind w:left="720" w:hanging="36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Times New Roman" w:eastAsia="Calibri" w:hAnsi="Times New Roman" w:cs="Times New Roman"/>
        <w:color w:val="FF0000"/>
        <w:sz w:val="24"/>
        <w:szCs w:val="24"/>
        <w:lang w:eastAsia="ro-RO"/>
      </w:rPr>
    </w:lvl>
  </w:abstractNum>
  <w:abstractNum w:abstractNumId="5">
    <w:nsid w:val="00000007"/>
    <w:multiLevelType w:val="singleLevel"/>
    <w:tmpl w:val="00000007"/>
    <w:name w:val="WW8Num7"/>
    <w:lvl w:ilvl="0">
      <w:start w:val="1"/>
      <w:numFmt w:val="bullet"/>
      <w:lvlText w:val=""/>
      <w:lvlJc w:val="left"/>
      <w:pPr>
        <w:tabs>
          <w:tab w:val="num" w:pos="0"/>
        </w:tabs>
        <w:ind w:left="965" w:hanging="360"/>
      </w:pPr>
      <w:rPr>
        <w:rFonts w:ascii="Symbol" w:hAnsi="Symbol" w:cs="Symbol" w:hint="default"/>
        <w:color w:val="000000"/>
        <w:sz w:val="24"/>
        <w:szCs w:val="24"/>
      </w:rPr>
    </w:lvl>
  </w:abstractNum>
  <w:abstractNum w:abstractNumId="6">
    <w:nsid w:val="00000008"/>
    <w:multiLevelType w:val="multilevel"/>
    <w:tmpl w:val="00000008"/>
    <w:name w:val="WWNum5"/>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27C14A27"/>
    <w:multiLevelType w:val="hybridMultilevel"/>
    <w:tmpl w:val="03ECDBB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5E924C39"/>
    <w:multiLevelType w:val="hybridMultilevel"/>
    <w:tmpl w:val="A2922F9E"/>
    <w:lvl w:ilvl="0" w:tplc="09C8857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num>
  <w:num w:numId="5">
    <w:abstractNumId w:val="8"/>
  </w:num>
  <w:num w:numId="6">
    <w:abstractNumId w:val="2"/>
  </w:num>
  <w:num w:numId="7">
    <w:abstractNumId w:val="1"/>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CA"/>
    <w:rsid w:val="00010B78"/>
    <w:rsid w:val="0001559C"/>
    <w:rsid w:val="0002043C"/>
    <w:rsid w:val="00041D4A"/>
    <w:rsid w:val="00043FD0"/>
    <w:rsid w:val="00097045"/>
    <w:rsid w:val="000B126D"/>
    <w:rsid w:val="001011B6"/>
    <w:rsid w:val="00140630"/>
    <w:rsid w:val="0015148A"/>
    <w:rsid w:val="00160869"/>
    <w:rsid w:val="0018040C"/>
    <w:rsid w:val="001937AD"/>
    <w:rsid w:val="001C2445"/>
    <w:rsid w:val="001E0558"/>
    <w:rsid w:val="001F364D"/>
    <w:rsid w:val="00214729"/>
    <w:rsid w:val="00227E31"/>
    <w:rsid w:val="002361EA"/>
    <w:rsid w:val="002639DC"/>
    <w:rsid w:val="002661BA"/>
    <w:rsid w:val="003269EC"/>
    <w:rsid w:val="003336CC"/>
    <w:rsid w:val="00361B24"/>
    <w:rsid w:val="00373B27"/>
    <w:rsid w:val="003765AC"/>
    <w:rsid w:val="003774FF"/>
    <w:rsid w:val="003C489F"/>
    <w:rsid w:val="003D3C90"/>
    <w:rsid w:val="003F26EB"/>
    <w:rsid w:val="00400F03"/>
    <w:rsid w:val="00406408"/>
    <w:rsid w:val="0041080F"/>
    <w:rsid w:val="00427932"/>
    <w:rsid w:val="004368C6"/>
    <w:rsid w:val="0046077A"/>
    <w:rsid w:val="004623EC"/>
    <w:rsid w:val="00476274"/>
    <w:rsid w:val="004B7E01"/>
    <w:rsid w:val="004C12D9"/>
    <w:rsid w:val="004E51D3"/>
    <w:rsid w:val="004F0DA0"/>
    <w:rsid w:val="004F22FB"/>
    <w:rsid w:val="00500B39"/>
    <w:rsid w:val="00520CA8"/>
    <w:rsid w:val="00537980"/>
    <w:rsid w:val="00540527"/>
    <w:rsid w:val="00551981"/>
    <w:rsid w:val="005A75F6"/>
    <w:rsid w:val="005D32AC"/>
    <w:rsid w:val="005D5AE6"/>
    <w:rsid w:val="005F76E9"/>
    <w:rsid w:val="00623902"/>
    <w:rsid w:val="00651DEF"/>
    <w:rsid w:val="00653BA0"/>
    <w:rsid w:val="006746CC"/>
    <w:rsid w:val="0069016A"/>
    <w:rsid w:val="006B5404"/>
    <w:rsid w:val="006C1D46"/>
    <w:rsid w:val="006F7ACF"/>
    <w:rsid w:val="00705FA2"/>
    <w:rsid w:val="00750931"/>
    <w:rsid w:val="0076048F"/>
    <w:rsid w:val="007659B7"/>
    <w:rsid w:val="0077350E"/>
    <w:rsid w:val="00783655"/>
    <w:rsid w:val="00784178"/>
    <w:rsid w:val="00785E2E"/>
    <w:rsid w:val="007863D7"/>
    <w:rsid w:val="007A709E"/>
    <w:rsid w:val="007C2B1D"/>
    <w:rsid w:val="007C3E34"/>
    <w:rsid w:val="007D47FB"/>
    <w:rsid w:val="007E3336"/>
    <w:rsid w:val="007F08A1"/>
    <w:rsid w:val="007F0D01"/>
    <w:rsid w:val="00817015"/>
    <w:rsid w:val="00825F0D"/>
    <w:rsid w:val="00841BDA"/>
    <w:rsid w:val="00871FB8"/>
    <w:rsid w:val="008726E5"/>
    <w:rsid w:val="008855B2"/>
    <w:rsid w:val="008A077B"/>
    <w:rsid w:val="008B405A"/>
    <w:rsid w:val="008C7783"/>
    <w:rsid w:val="00903AAF"/>
    <w:rsid w:val="009251C1"/>
    <w:rsid w:val="0092549A"/>
    <w:rsid w:val="009351ED"/>
    <w:rsid w:val="0096471F"/>
    <w:rsid w:val="00973201"/>
    <w:rsid w:val="00976177"/>
    <w:rsid w:val="009A7C7F"/>
    <w:rsid w:val="009B117D"/>
    <w:rsid w:val="009B3B61"/>
    <w:rsid w:val="009C7C09"/>
    <w:rsid w:val="00A13DA2"/>
    <w:rsid w:val="00A74D89"/>
    <w:rsid w:val="00AA4478"/>
    <w:rsid w:val="00AA6D8A"/>
    <w:rsid w:val="00AB5322"/>
    <w:rsid w:val="00AE0D45"/>
    <w:rsid w:val="00B5308B"/>
    <w:rsid w:val="00B8600D"/>
    <w:rsid w:val="00B86851"/>
    <w:rsid w:val="00B9566A"/>
    <w:rsid w:val="00BD13FE"/>
    <w:rsid w:val="00BE7BA5"/>
    <w:rsid w:val="00BF4FAE"/>
    <w:rsid w:val="00C213E6"/>
    <w:rsid w:val="00C227ED"/>
    <w:rsid w:val="00C2604A"/>
    <w:rsid w:val="00C36AF6"/>
    <w:rsid w:val="00C470DC"/>
    <w:rsid w:val="00C47A59"/>
    <w:rsid w:val="00C51DCA"/>
    <w:rsid w:val="00C52ED5"/>
    <w:rsid w:val="00C71834"/>
    <w:rsid w:val="00C8743C"/>
    <w:rsid w:val="00CB7B7F"/>
    <w:rsid w:val="00CB7E1C"/>
    <w:rsid w:val="00CC173C"/>
    <w:rsid w:val="00CD3582"/>
    <w:rsid w:val="00D04B55"/>
    <w:rsid w:val="00D11410"/>
    <w:rsid w:val="00D2147C"/>
    <w:rsid w:val="00D52B86"/>
    <w:rsid w:val="00D72289"/>
    <w:rsid w:val="00DA1056"/>
    <w:rsid w:val="00DA510A"/>
    <w:rsid w:val="00DE0186"/>
    <w:rsid w:val="00E10817"/>
    <w:rsid w:val="00E1212F"/>
    <w:rsid w:val="00E32D07"/>
    <w:rsid w:val="00E349D0"/>
    <w:rsid w:val="00E50EF8"/>
    <w:rsid w:val="00E510C3"/>
    <w:rsid w:val="00E610FB"/>
    <w:rsid w:val="00E653DD"/>
    <w:rsid w:val="00E662D7"/>
    <w:rsid w:val="00F01028"/>
    <w:rsid w:val="00F02E25"/>
    <w:rsid w:val="00F148D8"/>
    <w:rsid w:val="00F152C2"/>
    <w:rsid w:val="00F43284"/>
    <w:rsid w:val="00F46CBE"/>
    <w:rsid w:val="00FD4D14"/>
    <w:rsid w:val="00FD74B9"/>
    <w:rsid w:val="00FE3A19"/>
    <w:rsid w:val="00FF1B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6238-A112-421D-BDFC-16695DE8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1B6"/>
  </w:style>
  <w:style w:type="paragraph" w:styleId="Heading1">
    <w:name w:val="heading 1"/>
    <w:basedOn w:val="Normal"/>
    <w:next w:val="Normal"/>
    <w:link w:val="Heading1Char"/>
    <w:qFormat/>
    <w:rsid w:val="00E10817"/>
    <w:pPr>
      <w:keepNext/>
      <w:numPr>
        <w:numId w:val="2"/>
      </w:numPr>
      <w:suppressAutoHyphens/>
      <w:outlineLvl w:val="0"/>
    </w:pPr>
    <w:rPr>
      <w:rFonts w:ascii="Times New Roman" w:eastAsia="Times New Roman" w:hAnsi="Times New Roman" w:cs="Times New Roman"/>
      <w:sz w:val="28"/>
      <w:lang w:eastAsia="zh-CN"/>
    </w:rPr>
  </w:style>
  <w:style w:type="paragraph" w:styleId="Heading2">
    <w:name w:val="heading 2"/>
    <w:basedOn w:val="Normal"/>
    <w:next w:val="Normal"/>
    <w:link w:val="Heading2Char"/>
    <w:unhideWhenUsed/>
    <w:qFormat/>
    <w:rsid w:val="00E10817"/>
    <w:pPr>
      <w:keepNext/>
      <w:numPr>
        <w:ilvl w:val="1"/>
        <w:numId w:val="2"/>
      </w:numPr>
      <w:suppressAutoHyphens/>
      <w:spacing w:before="240" w:after="60"/>
      <w:outlineLvl w:val="1"/>
    </w:pPr>
    <w:rPr>
      <w:rFonts w:ascii="Cambria" w:eastAsia="Times New Roma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10817"/>
    <w:rPr>
      <w:rFonts w:ascii="Times New Roman" w:eastAsia="Times New Roman" w:hAnsi="Times New Roman" w:cs="Times New Roman"/>
      <w:sz w:val="28"/>
      <w:lang w:eastAsia="zh-CN"/>
    </w:rPr>
  </w:style>
  <w:style w:type="character" w:customStyle="1" w:styleId="Heading2Char">
    <w:name w:val="Heading 2 Char"/>
    <w:basedOn w:val="DefaultParagraphFont"/>
    <w:link w:val="Heading2"/>
    <w:rsid w:val="00E10817"/>
    <w:rPr>
      <w:rFonts w:ascii="Cambria" w:eastAsia="Times New Roman" w:hAnsi="Cambria" w:cs="Times New Roman"/>
      <w:b/>
      <w:bCs/>
      <w:i/>
      <w:iCs/>
      <w:sz w:val="28"/>
      <w:szCs w:val="28"/>
      <w:lang w:eastAsia="zh-CN"/>
    </w:rPr>
  </w:style>
  <w:style w:type="paragraph" w:styleId="BodyText">
    <w:name w:val="Body Text"/>
    <w:basedOn w:val="Normal"/>
    <w:link w:val="BodyTextChar"/>
    <w:semiHidden/>
    <w:unhideWhenUsed/>
    <w:rsid w:val="00E10817"/>
    <w:pPr>
      <w:jc w:val="center"/>
    </w:pPr>
    <w:rPr>
      <w:rFonts w:ascii="Times New Roman" w:eastAsia="Times New Roman" w:hAnsi="Times New Roman" w:cs="Times New Roman"/>
      <w:b/>
      <w:sz w:val="26"/>
      <w:szCs w:val="26"/>
    </w:rPr>
  </w:style>
  <w:style w:type="character" w:customStyle="1" w:styleId="BodyTextChar">
    <w:name w:val="Body Text Char"/>
    <w:basedOn w:val="DefaultParagraphFont"/>
    <w:link w:val="BodyText"/>
    <w:semiHidden/>
    <w:rsid w:val="00E10817"/>
    <w:rPr>
      <w:rFonts w:ascii="Times New Roman" w:eastAsia="Times New Roman" w:hAnsi="Times New Roman" w:cs="Times New Roman"/>
      <w:b/>
      <w:sz w:val="26"/>
      <w:szCs w:val="26"/>
    </w:rPr>
  </w:style>
  <w:style w:type="paragraph" w:styleId="Footer">
    <w:name w:val="footer"/>
    <w:basedOn w:val="Normal"/>
    <w:link w:val="FooterChar"/>
    <w:uiPriority w:val="99"/>
    <w:unhideWhenUsed/>
    <w:rsid w:val="00E10817"/>
    <w:pPr>
      <w:tabs>
        <w:tab w:val="center" w:pos="4536"/>
        <w:tab w:val="right" w:pos="9072"/>
      </w:tabs>
      <w:suppressAutoHyphens/>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E10817"/>
    <w:rPr>
      <w:rFonts w:ascii="Times New Roman" w:eastAsia="Times New Roman" w:hAnsi="Times New Roman" w:cs="Times New Roman"/>
      <w:sz w:val="24"/>
      <w:szCs w:val="24"/>
      <w:lang w:eastAsia="zh-CN"/>
    </w:rPr>
  </w:style>
  <w:style w:type="paragraph" w:customStyle="1" w:styleId="DefaultText">
    <w:name w:val="Default Text"/>
    <w:basedOn w:val="Normal"/>
    <w:rsid w:val="00E10817"/>
    <w:pPr>
      <w:suppressAutoHyphens/>
      <w:autoSpaceDE w:val="0"/>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E10817"/>
    <w:pPr>
      <w:tabs>
        <w:tab w:val="center" w:pos="4513"/>
        <w:tab w:val="right" w:pos="9026"/>
      </w:tabs>
    </w:pPr>
  </w:style>
  <w:style w:type="character" w:customStyle="1" w:styleId="HeaderChar">
    <w:name w:val="Header Char"/>
    <w:basedOn w:val="DefaultParagraphFont"/>
    <w:link w:val="Header"/>
    <w:uiPriority w:val="99"/>
    <w:rsid w:val="00E10817"/>
  </w:style>
  <w:style w:type="paragraph" w:styleId="BalloonText">
    <w:name w:val="Balloon Text"/>
    <w:basedOn w:val="Normal"/>
    <w:link w:val="BalloonTextChar"/>
    <w:uiPriority w:val="99"/>
    <w:semiHidden/>
    <w:unhideWhenUsed/>
    <w:rsid w:val="0087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E5"/>
    <w:rPr>
      <w:rFonts w:ascii="Segoe UI" w:hAnsi="Segoe UI" w:cs="Segoe UI"/>
      <w:sz w:val="18"/>
      <w:szCs w:val="18"/>
    </w:rPr>
  </w:style>
  <w:style w:type="paragraph" w:styleId="ListParagraph">
    <w:name w:val="List Paragraph"/>
    <w:basedOn w:val="Normal"/>
    <w:uiPriority w:val="34"/>
    <w:qFormat/>
    <w:rsid w:val="007C3E34"/>
    <w:pPr>
      <w:ind w:left="720"/>
      <w:contextualSpacing/>
    </w:pPr>
  </w:style>
  <w:style w:type="character" w:customStyle="1" w:styleId="Fontdeparagrafimplicit1">
    <w:name w:val="Font de paragraf implicit1"/>
    <w:rsid w:val="00C71834"/>
  </w:style>
  <w:style w:type="paragraph" w:customStyle="1" w:styleId="DefaultText1">
    <w:name w:val="Default Text:1"/>
    <w:basedOn w:val="Normal"/>
    <w:rsid w:val="00C71834"/>
    <w:pPr>
      <w:suppressAutoHyphens/>
      <w:overflowPunct w:val="0"/>
      <w:autoSpaceDE w:val="0"/>
      <w:textAlignment w:val="baseline"/>
    </w:pPr>
    <w:rPr>
      <w:rFonts w:ascii="Times New Roman" w:eastAsia="Times New Roman" w:hAnsi="Times New Roman" w:cs="Times New Roman"/>
      <w:kern w:val="1"/>
      <w:sz w:val="24"/>
      <w:szCs w:val="20"/>
      <w:lang w:val="en-US" w:eastAsia="zh-CN"/>
    </w:rPr>
  </w:style>
  <w:style w:type="paragraph" w:customStyle="1" w:styleId="Standard">
    <w:name w:val="Standard"/>
    <w:rsid w:val="004623EC"/>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customStyle="1" w:styleId="WW8Num7z0">
    <w:name w:val="WW8Num7z0"/>
    <w:rsid w:val="008C7783"/>
    <w:rPr>
      <w:rFonts w:ascii="Symbol" w:hAnsi="Symbol" w:cs="Symbol" w:hint="default"/>
      <w:color w:val="000000"/>
      <w:sz w:val="24"/>
      <w:szCs w:val="24"/>
    </w:rPr>
  </w:style>
  <w:style w:type="paragraph" w:styleId="NormalWeb">
    <w:name w:val="Normal (Web)"/>
    <w:basedOn w:val="Normal"/>
    <w:rsid w:val="00841BDA"/>
    <w:pPr>
      <w:suppressAutoHyphens/>
      <w:spacing w:before="280" w:after="280"/>
    </w:pPr>
    <w:rPr>
      <w:rFonts w:ascii="Times New Roman" w:eastAsia="Times New Roman" w:hAnsi="Times New Roman" w:cs="Times New Roman"/>
      <w:color w:val="000000"/>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31506">
      <w:bodyDiv w:val="1"/>
      <w:marLeft w:val="0"/>
      <w:marRight w:val="0"/>
      <w:marTop w:val="0"/>
      <w:marBottom w:val="0"/>
      <w:divBdr>
        <w:top w:val="none" w:sz="0" w:space="0" w:color="auto"/>
        <w:left w:val="none" w:sz="0" w:space="0" w:color="auto"/>
        <w:bottom w:val="none" w:sz="0" w:space="0" w:color="auto"/>
        <w:right w:val="none" w:sz="0" w:space="0" w:color="auto"/>
      </w:divBdr>
    </w:div>
    <w:div w:id="1692298848">
      <w:bodyDiv w:val="1"/>
      <w:marLeft w:val="0"/>
      <w:marRight w:val="0"/>
      <w:marTop w:val="0"/>
      <w:marBottom w:val="0"/>
      <w:divBdr>
        <w:top w:val="none" w:sz="0" w:space="0" w:color="auto"/>
        <w:left w:val="none" w:sz="0" w:space="0" w:color="auto"/>
        <w:bottom w:val="none" w:sz="0" w:space="0" w:color="auto"/>
        <w:right w:val="none" w:sz="0" w:space="0" w:color="auto"/>
      </w:divBdr>
      <w:divsChild>
        <w:div w:id="388529127">
          <w:marLeft w:val="0"/>
          <w:marRight w:val="0"/>
          <w:marTop w:val="0"/>
          <w:marBottom w:val="0"/>
          <w:divBdr>
            <w:top w:val="none" w:sz="0" w:space="0" w:color="auto"/>
            <w:left w:val="none" w:sz="0" w:space="0" w:color="auto"/>
            <w:bottom w:val="none" w:sz="0" w:space="0" w:color="auto"/>
            <w:right w:val="none" w:sz="0" w:space="0" w:color="auto"/>
          </w:divBdr>
        </w:div>
        <w:div w:id="438842812">
          <w:marLeft w:val="0"/>
          <w:marRight w:val="0"/>
          <w:marTop w:val="0"/>
          <w:marBottom w:val="0"/>
          <w:divBdr>
            <w:top w:val="none" w:sz="0" w:space="0" w:color="auto"/>
            <w:left w:val="none" w:sz="0" w:space="0" w:color="auto"/>
            <w:bottom w:val="none" w:sz="0" w:space="0" w:color="auto"/>
            <w:right w:val="none" w:sz="0" w:space="0" w:color="auto"/>
          </w:divBdr>
        </w:div>
        <w:div w:id="1434785349">
          <w:marLeft w:val="0"/>
          <w:marRight w:val="0"/>
          <w:marTop w:val="0"/>
          <w:marBottom w:val="0"/>
          <w:divBdr>
            <w:top w:val="none" w:sz="0" w:space="0" w:color="auto"/>
            <w:left w:val="none" w:sz="0" w:space="0" w:color="auto"/>
            <w:bottom w:val="none" w:sz="0" w:space="0" w:color="auto"/>
            <w:right w:val="none" w:sz="0" w:space="0" w:color="auto"/>
          </w:divBdr>
        </w:div>
        <w:div w:id="919019368">
          <w:marLeft w:val="0"/>
          <w:marRight w:val="0"/>
          <w:marTop w:val="0"/>
          <w:marBottom w:val="0"/>
          <w:divBdr>
            <w:top w:val="none" w:sz="0" w:space="0" w:color="auto"/>
            <w:left w:val="none" w:sz="0" w:space="0" w:color="auto"/>
            <w:bottom w:val="none" w:sz="0" w:space="0" w:color="auto"/>
            <w:right w:val="none" w:sz="0" w:space="0" w:color="auto"/>
          </w:divBdr>
        </w:div>
        <w:div w:id="1935430564">
          <w:marLeft w:val="0"/>
          <w:marRight w:val="0"/>
          <w:marTop w:val="0"/>
          <w:marBottom w:val="0"/>
          <w:divBdr>
            <w:top w:val="none" w:sz="0" w:space="0" w:color="auto"/>
            <w:left w:val="none" w:sz="0" w:space="0" w:color="auto"/>
            <w:bottom w:val="none" w:sz="0" w:space="0" w:color="auto"/>
            <w:right w:val="none" w:sz="0" w:space="0" w:color="auto"/>
          </w:divBdr>
        </w:div>
        <w:div w:id="137292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or.Coman\Documents\Custom%20Office%20Templates\NF-OG;OU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C36F-A552-406F-9953-4C0C412D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NF-OG;OUG</Template>
  <TotalTime>1</TotalTime>
  <Pages>21</Pages>
  <Words>8012</Words>
  <Characters>45674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Coman</dc:creator>
  <cp:keywords/>
  <dc:description/>
  <cp:lastModifiedBy>ALINA-NARCISA INTZE</cp:lastModifiedBy>
  <cp:revision>2</cp:revision>
  <cp:lastPrinted>2018-09-28T10:44:00Z</cp:lastPrinted>
  <dcterms:created xsi:type="dcterms:W3CDTF">2018-09-28T15:56:00Z</dcterms:created>
  <dcterms:modified xsi:type="dcterms:W3CDTF">2018-09-28T15:56:00Z</dcterms:modified>
</cp:coreProperties>
</file>