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4B" w:rsidRDefault="00853EC4">
      <w:pPr>
        <w:pStyle w:val="sanxttl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Anexa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nr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11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B124B" w:rsidRDefault="00853EC4">
      <w:pPr>
        <w:pStyle w:val="spar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nr.12 la </w:t>
      </w: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5.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521/2024)</w:t>
      </w:r>
    </w:p>
    <w:p w:rsidR="00EB124B" w:rsidRDefault="00853EC4">
      <w:pPr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24"/>
          <w:szCs w:val="24"/>
        </w:rPr>
        <w:t>ANTET*)</w:t>
      </w:r>
    </w:p>
    <w:p w:rsidR="00EB124B" w:rsidRDefault="00853EC4">
      <w:pPr>
        <w:jc w:val="both"/>
        <w:rPr>
          <w:rFonts w:ascii="Times New Roman" w:hAnsi="Times New Roman"/>
          <w:szCs w:val="18"/>
        </w:rPr>
      </w:pPr>
      <w:r>
        <w:rPr>
          <w:rStyle w:val="spar5"/>
          <w:rFonts w:ascii="Times New Roman" w:eastAsia="SimSun" w:hAnsi="Times New Roman"/>
          <w:sz w:val="18"/>
          <w:szCs w:val="18"/>
        </w:rPr>
        <w:t xml:space="preserve">*) Se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vor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trece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sigla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conform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Ordinului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președintelui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Agenției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Naționale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Administrare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. 3.504/2013</w:t>
      </w:r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privind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aprobarea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modelului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și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caracteristicilor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siglelor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utilizate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la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nivelul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Agenției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Naționale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Administrare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denumirea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și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adresa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organului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fiscal central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emitent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prezentului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act.</w:t>
      </w:r>
    </w:p>
    <w:p w:rsidR="00EB124B" w:rsidRDefault="00853EC4">
      <w:pPr>
        <w:pStyle w:val="spar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......... din .............</w:t>
      </w:r>
      <w:r>
        <w:rPr>
          <w:rFonts w:ascii="Times New Roman" w:hAnsi="Times New Roman"/>
          <w:sz w:val="24"/>
          <w:szCs w:val="24"/>
        </w:rPr>
        <w:t>.</w:t>
      </w:r>
    </w:p>
    <w:p w:rsidR="00EB124B" w:rsidRDefault="00EB124B">
      <w:pPr>
        <w:pStyle w:val="spar4"/>
        <w:rPr>
          <w:rFonts w:ascii="Times New Roman" w:hAnsi="Times New Roman"/>
          <w:sz w:val="24"/>
          <w:szCs w:val="24"/>
        </w:rPr>
      </w:pPr>
    </w:p>
    <w:p w:rsidR="00EB124B" w:rsidRDefault="00853EC4">
      <w:pPr>
        <w:pStyle w:val="spar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DECIZIE</w:t>
      </w:r>
    </w:p>
    <w:p w:rsidR="00EB124B" w:rsidRDefault="00853EC4">
      <w:pPr>
        <w:pStyle w:val="spar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b/>
          <w:sz w:val="24"/>
          <w:szCs w:val="24"/>
        </w:rPr>
        <w:t>desființare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deciziei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anulare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obligații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bugetare</w:t>
      </w:r>
      <w:proofErr w:type="spellEnd"/>
    </w:p>
    <w:p w:rsidR="00EB124B" w:rsidRDefault="00EB124B">
      <w:pPr>
        <w:pStyle w:val="spar4"/>
        <w:jc w:val="center"/>
        <w:rPr>
          <w:rFonts w:ascii="Times New Roman" w:hAnsi="Times New Roman"/>
          <w:sz w:val="24"/>
          <w:szCs w:val="24"/>
        </w:rPr>
      </w:pPr>
    </w:p>
    <w:p w:rsidR="00EB124B" w:rsidRDefault="00853EC4">
      <w:pPr>
        <w:pStyle w:val="spar4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 de </w:t>
      </w:r>
      <w:proofErr w:type="spellStart"/>
      <w:r>
        <w:rPr>
          <w:rFonts w:ascii="Times New Roman" w:hAnsi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fiscală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</w:t>
      </w:r>
    </w:p>
    <w:p w:rsidR="00EB124B" w:rsidRDefault="00853EC4">
      <w:pPr>
        <w:pStyle w:val="spar4"/>
        <w:ind w:left="2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Denumirea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</w:t>
      </w:r>
      <w:r>
        <w:rPr>
          <w:rFonts w:ascii="Times New Roman" w:hAnsi="Times New Roman"/>
          <w:sz w:val="24"/>
          <w:szCs w:val="24"/>
        </w:rPr>
        <w:t>........</w:t>
      </w:r>
    </w:p>
    <w:p w:rsidR="00EB124B" w:rsidRDefault="00853EC4">
      <w:pPr>
        <w:pStyle w:val="spar4"/>
        <w:ind w:left="2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fiscal: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sectorul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................, str. ...........................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................., bl. ..................., sc. ......., ap. 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........, fax .............</w:t>
      </w:r>
      <w:r>
        <w:rPr>
          <w:rFonts w:ascii="Times New Roman" w:hAnsi="Times New Roman"/>
          <w:sz w:val="24"/>
          <w:szCs w:val="24"/>
        </w:rPr>
        <w:t>., e-mail ...................</w:t>
      </w:r>
    </w:p>
    <w:p w:rsidR="00EB124B" w:rsidRDefault="00853EC4">
      <w:pPr>
        <w:ind w:left="225"/>
        <w:rPr>
          <w:rFonts w:ascii="Times New Roma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24"/>
          <w:szCs w:val="24"/>
        </w:rPr>
        <w:t xml:space="preserve">Cod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identificare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sediile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secundare</w:t>
      </w:r>
      <w:proofErr w:type="spellEnd"/>
    </w:p>
    <w:p w:rsidR="00EB124B" w:rsidRDefault="00853EC4">
      <w:pPr>
        <w:pStyle w:val="spar4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EB124B" w:rsidRDefault="00853EC4">
      <w:pPr>
        <w:pStyle w:val="spar4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EB124B" w:rsidRDefault="00EB124B">
      <w:pPr>
        <w:pStyle w:val="spar4"/>
        <w:rPr>
          <w:rFonts w:ascii="Times New Roman" w:hAnsi="Times New Roman"/>
          <w:sz w:val="24"/>
          <w:szCs w:val="24"/>
        </w:rPr>
      </w:pPr>
    </w:p>
    <w:p w:rsidR="00EB124B" w:rsidRDefault="00853EC4">
      <w:pPr>
        <w:ind w:firstLine="225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temeiul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prevederilor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Ordonanței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 107/2024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reglementarea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masuri</w:t>
      </w:r>
      <w:proofErr w:type="spellEnd"/>
      <w:r>
        <w:rPr>
          <w:rFonts w:ascii="Times New Roman" w:hAnsi="Times New Roman"/>
          <w:sz w:val="24"/>
          <w:szCs w:val="24"/>
        </w:rPr>
        <w:t xml:space="preserve"> fiscal-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gestionării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deficitului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sz w:val="24"/>
          <w:szCs w:val="24"/>
        </w:rPr>
        <w:t>consolidat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României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sz w:val="24"/>
          <w:szCs w:val="24"/>
        </w:rPr>
        <w:t>precum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normative,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ale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Ordinului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ministrului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finanțelor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 5.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521/2024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aprobarea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Procedurii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,</w:t>
      </w:r>
    </w:p>
    <w:p w:rsidR="00EB124B" w:rsidRDefault="00853EC4">
      <w:pPr>
        <w:ind w:firstLine="225"/>
        <w:rPr>
          <w:rStyle w:val="spar5"/>
          <w:rFonts w:ascii="Times New Roman" w:eastAsia="SimSu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</w:t>
      </w:r>
      <w:r>
        <w:rPr>
          <w:rStyle w:val="spar5"/>
          <w:rFonts w:ascii="Times New Roman" w:eastAsia="SimSun" w:hAnsi="Times New Roman"/>
          <w:sz w:val="24"/>
          <w:szCs w:val="24"/>
        </w:rPr>
        <w:t>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având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vedere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Cererea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dumneav</w:t>
      </w:r>
      <w:r>
        <w:rPr>
          <w:rStyle w:val="spar5"/>
          <w:rFonts w:ascii="Times New Roman" w:eastAsia="SimSun" w:hAnsi="Times New Roman"/>
          <w:sz w:val="24"/>
          <w:szCs w:val="24"/>
        </w:rPr>
        <w:t>oastră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......... din data de ................,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înregistrată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organul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fiscal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.............. din data de .................,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vă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comunicăm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aprobată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prin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. ........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........... din data de........................., se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desființează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suma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....................................... lei,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reprezentând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:</w:t>
      </w:r>
    </w:p>
    <w:p w:rsidR="00EB124B" w:rsidRDefault="00EB124B">
      <w:pPr>
        <w:jc w:val="both"/>
        <w:rPr>
          <w:rStyle w:val="spar5"/>
          <w:rFonts w:ascii="Times New Roman" w:eastAsia="SimSun" w:hAnsi="Times New Roman"/>
          <w:sz w:val="24"/>
          <w:szCs w:val="24"/>
        </w:rPr>
      </w:pPr>
    </w:p>
    <w:tbl>
      <w:tblPr>
        <w:tblW w:w="977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843"/>
        <w:gridCol w:w="630"/>
        <w:gridCol w:w="883"/>
        <w:gridCol w:w="1815"/>
        <w:gridCol w:w="1176"/>
        <w:gridCol w:w="1837"/>
      </w:tblGrid>
      <w:tr w:rsidR="00EB124B">
        <w:tblPrEx>
          <w:tblCellMar>
            <w:top w:w="0" w:type="dxa"/>
            <w:bottom w:w="0" w:type="dxa"/>
          </w:tblCellMar>
        </w:tblPrEx>
        <w:tc>
          <w:tcPr>
            <w:tcW w:w="9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-lei-</w:t>
            </w:r>
          </w:p>
        </w:tc>
      </w:tr>
      <w:tr w:rsidR="00EB124B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obligației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bugetare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Debit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Majorări</w:t>
            </w:r>
            <w:proofErr w:type="spellEnd"/>
          </w:p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Penalități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Penalități</w:t>
            </w:r>
            <w:proofErr w:type="spellEnd"/>
          </w:p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obligații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accesorii</w:t>
            </w:r>
            <w:proofErr w:type="spellEnd"/>
          </w:p>
        </w:tc>
      </w:tr>
      <w:tr w:rsidR="00EB124B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EB124B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124B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124B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........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124B">
        <w:tblPrEx>
          <w:tblCellMar>
            <w:top w:w="0" w:type="dxa"/>
            <w:bottom w:w="0" w:type="dxa"/>
          </w:tblCellMar>
        </w:tblPrEx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853EC4">
            <w:pPr>
              <w:pStyle w:val="spar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Total general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24B" w:rsidRDefault="00EB1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B124B" w:rsidRDefault="00853EC4">
      <w:pPr>
        <w:pStyle w:val="spar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**) Se </w:t>
      </w:r>
      <w:proofErr w:type="spellStart"/>
      <w:r>
        <w:rPr>
          <w:rFonts w:ascii="Times New Roman" w:hAnsi="Times New Roman"/>
          <w:sz w:val="18"/>
          <w:szCs w:val="18"/>
        </w:rPr>
        <w:t>vor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menționa</w:t>
      </w:r>
      <w:proofErr w:type="spellEnd"/>
      <w:r>
        <w:rPr>
          <w:rFonts w:ascii="Times New Roman" w:hAnsi="Times New Roman"/>
          <w:sz w:val="18"/>
          <w:szCs w:val="18"/>
        </w:rPr>
        <w:t>:</w:t>
      </w:r>
    </w:p>
    <w:p w:rsidR="00EB124B" w:rsidRDefault="00853EC4">
      <w:pPr>
        <w:pStyle w:val="spar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a) </w:t>
      </w:r>
      <w:proofErr w:type="spellStart"/>
      <w:r>
        <w:rPr>
          <w:rFonts w:ascii="Times New Roman" w:hAnsi="Times New Roman"/>
          <w:sz w:val="18"/>
          <w:szCs w:val="18"/>
        </w:rPr>
        <w:t>obligațiile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bugetare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principale</w:t>
      </w:r>
      <w:proofErr w:type="spellEnd"/>
      <w:r>
        <w:rPr>
          <w:rFonts w:ascii="Times New Roman" w:hAnsi="Times New Roman"/>
          <w:sz w:val="18"/>
          <w:szCs w:val="18"/>
        </w:rPr>
        <w:t xml:space="preserve"> care se </w:t>
      </w:r>
      <w:proofErr w:type="spellStart"/>
      <w:r>
        <w:rPr>
          <w:rFonts w:ascii="Times New Roman" w:hAnsi="Times New Roman"/>
          <w:sz w:val="18"/>
          <w:szCs w:val="18"/>
        </w:rPr>
        <w:t>anulează</w:t>
      </w:r>
      <w:proofErr w:type="spellEnd"/>
      <w:r>
        <w:rPr>
          <w:rFonts w:ascii="Times New Roman" w:hAnsi="Times New Roman"/>
          <w:sz w:val="18"/>
          <w:szCs w:val="18"/>
        </w:rPr>
        <w:t xml:space="preserve">, in </w:t>
      </w:r>
      <w:proofErr w:type="spellStart"/>
      <w:r>
        <w:rPr>
          <w:rFonts w:ascii="Times New Roman" w:hAnsi="Times New Roman"/>
          <w:sz w:val="18"/>
          <w:szCs w:val="18"/>
        </w:rPr>
        <w:t>cazul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persoanelor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fizice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în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procentele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prevăzute</w:t>
      </w:r>
      <w:proofErr w:type="spellEnd"/>
      <w:r>
        <w:rPr>
          <w:rFonts w:ascii="Times New Roman" w:hAnsi="Times New Roman"/>
          <w:sz w:val="18"/>
          <w:szCs w:val="18"/>
        </w:rPr>
        <w:t xml:space="preserve"> la </w:t>
      </w:r>
      <w:r>
        <w:rPr>
          <w:rFonts w:ascii="Times New Roman" w:hAnsi="Times New Roman"/>
          <w:sz w:val="18"/>
          <w:szCs w:val="18"/>
        </w:rPr>
        <w:t xml:space="preserve">art. XVI </w:t>
      </w:r>
      <w:proofErr w:type="spellStart"/>
      <w:r>
        <w:rPr>
          <w:rFonts w:ascii="Times New Roman" w:hAnsi="Times New Roman"/>
          <w:sz w:val="18"/>
          <w:szCs w:val="18"/>
        </w:rPr>
        <w:t>alin</w:t>
      </w:r>
      <w:proofErr w:type="spellEnd"/>
      <w:r>
        <w:rPr>
          <w:rFonts w:ascii="Times New Roman" w:hAnsi="Times New Roman"/>
          <w:sz w:val="18"/>
          <w:szCs w:val="18"/>
        </w:rPr>
        <w:t xml:space="preserve">. (1) lit. a)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alin</w:t>
      </w:r>
      <w:proofErr w:type="spellEnd"/>
      <w:r>
        <w:rPr>
          <w:rFonts w:ascii="Times New Roman" w:hAnsi="Times New Roman"/>
          <w:sz w:val="18"/>
          <w:szCs w:val="18"/>
        </w:rPr>
        <w:t xml:space="preserve">. (2) lit. a) din </w:t>
      </w:r>
      <w:proofErr w:type="spellStart"/>
      <w:r>
        <w:rPr>
          <w:rFonts w:ascii="Times New Roman" w:hAnsi="Times New Roman"/>
          <w:sz w:val="18"/>
          <w:szCs w:val="18"/>
        </w:rPr>
        <w:t>Ordonanța</w:t>
      </w:r>
      <w:proofErr w:type="spellEnd"/>
      <w:r>
        <w:rPr>
          <w:rFonts w:ascii="Times New Roman" w:hAnsi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sz w:val="18"/>
          <w:szCs w:val="18"/>
        </w:rPr>
        <w:t>urgență</w:t>
      </w:r>
      <w:proofErr w:type="spellEnd"/>
      <w:r>
        <w:rPr>
          <w:rFonts w:ascii="Times New Roman" w:hAnsi="Times New Roman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sz w:val="18"/>
          <w:szCs w:val="18"/>
        </w:rPr>
        <w:t>Guvernului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nr</w:t>
      </w:r>
      <w:proofErr w:type="spellEnd"/>
      <w:r>
        <w:rPr>
          <w:rFonts w:ascii="Times New Roman" w:hAnsi="Times New Roman"/>
          <w:sz w:val="18"/>
          <w:szCs w:val="18"/>
        </w:rPr>
        <w:t xml:space="preserve">. 107/2024 </w:t>
      </w:r>
      <w:proofErr w:type="spellStart"/>
      <w:r>
        <w:rPr>
          <w:rFonts w:ascii="Times New Roman" w:hAnsi="Times New Roman"/>
          <w:sz w:val="18"/>
          <w:szCs w:val="18"/>
        </w:rPr>
        <w:t>pentru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reglementarea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unor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masuri</w:t>
      </w:r>
      <w:proofErr w:type="spellEnd"/>
      <w:r>
        <w:rPr>
          <w:rFonts w:ascii="Times New Roman" w:hAnsi="Times New Roman"/>
          <w:sz w:val="18"/>
          <w:szCs w:val="18"/>
        </w:rPr>
        <w:t xml:space="preserve"> fiscal-</w:t>
      </w:r>
      <w:proofErr w:type="spellStart"/>
      <w:r>
        <w:rPr>
          <w:rFonts w:ascii="Times New Roman" w:hAnsi="Times New Roman"/>
          <w:sz w:val="18"/>
          <w:szCs w:val="18"/>
        </w:rPr>
        <w:t>bugetare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în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domeniul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gestionării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creanțelor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bugetare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sz w:val="18"/>
          <w:szCs w:val="18"/>
        </w:rPr>
        <w:t>deficitului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bugetar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pentru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bugetul</w:t>
      </w:r>
      <w:proofErr w:type="spellEnd"/>
      <w:r>
        <w:rPr>
          <w:rFonts w:ascii="Times New Roman" w:hAnsi="Times New Roman"/>
          <w:sz w:val="18"/>
          <w:szCs w:val="18"/>
        </w:rPr>
        <w:t xml:space="preserve"> general </w:t>
      </w:r>
      <w:proofErr w:type="spellStart"/>
      <w:r>
        <w:rPr>
          <w:rFonts w:ascii="Times New Roman" w:hAnsi="Times New Roman"/>
          <w:sz w:val="18"/>
          <w:szCs w:val="18"/>
        </w:rPr>
        <w:t>consolidat</w:t>
      </w:r>
      <w:proofErr w:type="spellEnd"/>
      <w:r>
        <w:rPr>
          <w:rFonts w:ascii="Times New Roman" w:hAnsi="Times New Roman"/>
          <w:sz w:val="18"/>
          <w:szCs w:val="18"/>
        </w:rPr>
        <w:t xml:space="preserve"> al </w:t>
      </w:r>
      <w:proofErr w:type="spellStart"/>
      <w:r>
        <w:rPr>
          <w:rFonts w:ascii="Times New Roman" w:hAnsi="Times New Roman"/>
          <w:sz w:val="18"/>
          <w:szCs w:val="18"/>
        </w:rPr>
        <w:t>Ro</w:t>
      </w:r>
      <w:r>
        <w:rPr>
          <w:rFonts w:ascii="Times New Roman" w:hAnsi="Times New Roman"/>
          <w:sz w:val="18"/>
          <w:szCs w:val="18"/>
        </w:rPr>
        <w:t>mâniei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în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anul</w:t>
      </w:r>
      <w:proofErr w:type="spellEnd"/>
      <w:r>
        <w:rPr>
          <w:rFonts w:ascii="Times New Roman" w:hAnsi="Times New Roman"/>
          <w:sz w:val="18"/>
          <w:szCs w:val="18"/>
        </w:rPr>
        <w:t xml:space="preserve"> 2024, </w:t>
      </w:r>
      <w:proofErr w:type="spellStart"/>
      <w:r>
        <w:rPr>
          <w:rFonts w:ascii="Times New Roman" w:hAnsi="Times New Roman"/>
          <w:sz w:val="18"/>
          <w:szCs w:val="18"/>
        </w:rPr>
        <w:t>precum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pentru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modificarea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completarea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unor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acte</w:t>
      </w:r>
      <w:proofErr w:type="spellEnd"/>
      <w:r>
        <w:rPr>
          <w:rFonts w:ascii="Times New Roman" w:hAnsi="Times New Roman"/>
          <w:sz w:val="18"/>
          <w:szCs w:val="18"/>
        </w:rPr>
        <w:t xml:space="preserve"> normative, cu </w:t>
      </w:r>
      <w:proofErr w:type="spellStart"/>
      <w:r>
        <w:rPr>
          <w:rFonts w:ascii="Times New Roman" w:hAnsi="Times New Roman"/>
          <w:sz w:val="18"/>
          <w:szCs w:val="18"/>
        </w:rPr>
        <w:t>modificările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completările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ulterioare</w:t>
      </w:r>
      <w:proofErr w:type="spellEnd"/>
      <w:r>
        <w:rPr>
          <w:rFonts w:ascii="Times New Roman" w:hAnsi="Times New Roman"/>
          <w:sz w:val="18"/>
          <w:szCs w:val="18"/>
        </w:rPr>
        <w:t>;</w:t>
      </w:r>
    </w:p>
    <w:p w:rsidR="00EB124B" w:rsidRDefault="00853EC4">
      <w:pPr>
        <w:pStyle w:val="spar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b) </w:t>
      </w:r>
      <w:proofErr w:type="spellStart"/>
      <w:r>
        <w:rPr>
          <w:rFonts w:ascii="Times New Roman" w:hAnsi="Times New Roman"/>
          <w:sz w:val="18"/>
          <w:szCs w:val="18"/>
        </w:rPr>
        <w:t>obligațiile</w:t>
      </w:r>
      <w:proofErr w:type="spellEnd"/>
      <w:r>
        <w:rPr>
          <w:rFonts w:ascii="Times New Roman" w:hAnsi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sz w:val="18"/>
          <w:szCs w:val="18"/>
        </w:rPr>
        <w:t>plată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accesorii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aferente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obligațiilor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bugetare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principale</w:t>
      </w:r>
      <w:proofErr w:type="spellEnd"/>
      <w:r>
        <w:rPr>
          <w:rFonts w:ascii="Times New Roman" w:hAnsi="Times New Roman"/>
          <w:sz w:val="18"/>
          <w:szCs w:val="18"/>
        </w:rPr>
        <w:t xml:space="preserve"> restante la data de 31 august 2024 </w:t>
      </w:r>
      <w:proofErr w:type="spellStart"/>
      <w:r>
        <w:rPr>
          <w:rFonts w:ascii="Times New Roman" w:hAnsi="Times New Roman"/>
          <w:sz w:val="18"/>
          <w:szCs w:val="18"/>
        </w:rPr>
        <w:t>inclusiv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EB124B" w:rsidRDefault="00EB124B">
      <w:pPr>
        <w:pStyle w:val="spar4"/>
        <w:rPr>
          <w:rFonts w:ascii="Times New Roman" w:hAnsi="Times New Roman"/>
          <w:sz w:val="24"/>
          <w:szCs w:val="24"/>
        </w:rPr>
      </w:pPr>
    </w:p>
    <w:p w:rsidR="00EB124B" w:rsidRDefault="00853EC4">
      <w:pPr>
        <w:pBdr>
          <w:top w:val="dotted" w:sz="6" w:space="0" w:color="FEFEFE"/>
          <w:left w:val="dotted" w:sz="6" w:space="11" w:color="FEFEFE"/>
          <w:bottom w:val="dotted" w:sz="6" w:space="0" w:color="FEFEFE"/>
          <w:right w:val="dotted" w:sz="6" w:space="0" w:color="FEFEFE"/>
        </w:pBdr>
        <w:ind w:right="72" w:firstLine="5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Motivul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fapt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care a stat la </w:t>
      </w:r>
      <w:proofErr w:type="spellStart"/>
      <w:r>
        <w:rPr>
          <w:rFonts w:ascii="Times New Roman" w:eastAsia="SimSun" w:hAnsi="Times New Roman"/>
          <w:sz w:val="24"/>
          <w:szCs w:val="24"/>
        </w:rPr>
        <w:t>baza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emiterii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prezentei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decizii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SimSun" w:hAnsi="Times New Roman"/>
          <w:sz w:val="24"/>
          <w:szCs w:val="24"/>
        </w:rPr>
        <w:t>fost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ca </w:t>
      </w:r>
      <w:proofErr w:type="spellStart"/>
      <w:r>
        <w:rPr>
          <w:rFonts w:ascii="Times New Roman" w:eastAsia="SimSun" w:hAnsi="Times New Roman"/>
          <w:sz w:val="24"/>
          <w:szCs w:val="24"/>
        </w:rPr>
        <w:t>urmare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SimSun" w:hAnsi="Times New Roman"/>
          <w:sz w:val="24"/>
          <w:szCs w:val="24"/>
        </w:rPr>
        <w:t>emiterii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unei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decizii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soluționare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SimSun" w:hAnsi="Times New Roman"/>
          <w:sz w:val="24"/>
          <w:szCs w:val="24"/>
        </w:rPr>
        <w:t>contestațiilor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prin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care s-a </w:t>
      </w:r>
      <w:proofErr w:type="spellStart"/>
      <w:r>
        <w:rPr>
          <w:rFonts w:ascii="Times New Roman" w:eastAsia="SimSun" w:hAnsi="Times New Roman"/>
          <w:sz w:val="24"/>
          <w:szCs w:val="24"/>
        </w:rPr>
        <w:t>dispus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desființarea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Deciziei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impunere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nr</w:t>
      </w:r>
      <w:proofErr w:type="spellEnd"/>
      <w:r>
        <w:rPr>
          <w:rFonts w:ascii="Times New Roman" w:eastAsia="SimSun" w:hAnsi="Times New Roman"/>
          <w:sz w:val="24"/>
          <w:szCs w:val="24"/>
        </w:rPr>
        <w:t>. …….. din data de ……</w:t>
      </w:r>
      <w:proofErr w:type="gramStart"/>
      <w:r>
        <w:rPr>
          <w:rFonts w:ascii="Times New Roman" w:eastAsia="SimSun" w:hAnsi="Times New Roman"/>
          <w:sz w:val="24"/>
          <w:szCs w:val="24"/>
        </w:rPr>
        <w:t>…..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iar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după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primirea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noii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decizii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im</w:t>
      </w:r>
      <w:r>
        <w:rPr>
          <w:rFonts w:ascii="Times New Roman" w:eastAsia="SimSun" w:hAnsi="Times New Roman"/>
          <w:sz w:val="24"/>
          <w:szCs w:val="24"/>
        </w:rPr>
        <w:t>punere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respectiv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Decizia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impunere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nr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…….. din data de </w:t>
      </w:r>
      <w:proofErr w:type="gramStart"/>
      <w:r>
        <w:rPr>
          <w:rFonts w:ascii="Times New Roman" w:eastAsia="SimSun" w:hAnsi="Times New Roman"/>
          <w:sz w:val="24"/>
          <w:szCs w:val="24"/>
        </w:rPr>
        <w:t>…..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ați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îndeplinit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următoarea</w:t>
      </w:r>
      <w:proofErr w:type="spellEnd"/>
      <w:r>
        <w:rPr>
          <w:rFonts w:ascii="Times New Roman" w:eastAsia="SimSun" w:hAnsi="Times New Roman"/>
          <w:sz w:val="24"/>
          <w:szCs w:val="24"/>
        </w:rPr>
        <w:t>/</w:t>
      </w:r>
      <w:proofErr w:type="spellStart"/>
      <w:r>
        <w:rPr>
          <w:rFonts w:ascii="Times New Roman" w:eastAsia="SimSun" w:hAnsi="Times New Roman"/>
          <w:sz w:val="24"/>
          <w:szCs w:val="24"/>
        </w:rPr>
        <w:t>următoarele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condiție</w:t>
      </w:r>
      <w:proofErr w:type="spellEnd"/>
      <w:r>
        <w:rPr>
          <w:rFonts w:ascii="Times New Roman" w:eastAsia="SimSun" w:hAnsi="Times New Roman"/>
          <w:sz w:val="24"/>
          <w:szCs w:val="24"/>
        </w:rPr>
        <w:t>/</w:t>
      </w:r>
      <w:proofErr w:type="spellStart"/>
      <w:r>
        <w:rPr>
          <w:rFonts w:ascii="Times New Roman" w:eastAsia="SimSun" w:hAnsi="Times New Roman"/>
          <w:sz w:val="24"/>
          <w:szCs w:val="24"/>
        </w:rPr>
        <w:t>condiții</w:t>
      </w:r>
      <w:proofErr w:type="spellEnd"/>
      <w:r>
        <w:rPr>
          <w:rFonts w:ascii="Times New Roman" w:eastAsia="SimSun" w:hAnsi="Times New Roman"/>
          <w:sz w:val="24"/>
          <w:szCs w:val="24"/>
        </w:rPr>
        <w:t>:</w:t>
      </w:r>
    </w:p>
    <w:p w:rsidR="00EB124B" w:rsidRDefault="00853EC4">
      <w:pPr>
        <w:pStyle w:val="ListParagraph1"/>
        <w:numPr>
          <w:ilvl w:val="0"/>
          <w:numId w:val="1"/>
        </w:numPr>
        <w:pBdr>
          <w:top w:val="dotted" w:sz="6" w:space="0" w:color="FEFEFE"/>
          <w:left w:val="dotted" w:sz="6" w:space="11" w:color="FEFEFE"/>
          <w:bottom w:val="dotted" w:sz="6" w:space="0" w:color="FEFEFE"/>
          <w:right w:val="dotted" w:sz="6" w:space="0" w:color="FEFEFE"/>
        </w:pBdr>
        <w:ind w:left="0" w:right="72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cs="Verdana"/>
          <w:b/>
          <w:bCs/>
          <w:lang w:eastAsia="en-US"/>
        </w:rPr>
        <w:pict>
          <v:rect id="Rectangle 1" o:spid="_x0000_s1026" style="position:absolute;left:0;text-align:left;margin-left:11.35pt;margin-top:5.55pt;width:6.65pt;height:7.5pt;z-index:1" o:preferrelative="t" strokecolor="#42719b">
            <v:stroke miterlimit="2"/>
          </v:rect>
        </w:pict>
      </w:r>
      <w:proofErr w:type="spellStart"/>
      <w:r>
        <w:rPr>
          <w:rFonts w:ascii="Times New Roman" w:eastAsia="SimSun" w:hAnsi="Times New Roman"/>
          <w:sz w:val="24"/>
          <w:szCs w:val="24"/>
        </w:rPr>
        <w:t>ați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depus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cererea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anulare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termen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90 de </w:t>
      </w:r>
      <w:proofErr w:type="spellStart"/>
      <w:r>
        <w:rPr>
          <w:rFonts w:ascii="Times New Roman" w:eastAsia="SimSun" w:hAnsi="Times New Roman"/>
          <w:sz w:val="24"/>
          <w:szCs w:val="24"/>
        </w:rPr>
        <w:t>zile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eastAsia="SimSun" w:hAnsi="Times New Roman"/>
          <w:sz w:val="24"/>
          <w:szCs w:val="24"/>
        </w:rPr>
        <w:t>comunicării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noii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decizii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impunere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respect</w:t>
      </w:r>
      <w:r>
        <w:rPr>
          <w:rFonts w:ascii="Times New Roman" w:eastAsia="SimSun" w:hAnsi="Times New Roman"/>
          <w:sz w:val="24"/>
          <w:szCs w:val="24"/>
        </w:rPr>
        <w:t>iv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la data de ………</w:t>
      </w:r>
      <w:proofErr w:type="gramStart"/>
      <w:r>
        <w:rPr>
          <w:rFonts w:ascii="Times New Roman" w:eastAsia="SimSun" w:hAnsi="Times New Roman"/>
          <w:sz w:val="24"/>
          <w:szCs w:val="24"/>
        </w:rPr>
        <w:t>…..</w:t>
      </w:r>
      <w:proofErr w:type="gramEnd"/>
      <w:r>
        <w:rPr>
          <w:rFonts w:ascii="Times New Roman" w:eastAsia="SimSun" w:hAnsi="Times New Roman"/>
          <w:sz w:val="24"/>
          <w:szCs w:val="24"/>
        </w:rPr>
        <w:t>;</w:t>
      </w:r>
    </w:p>
    <w:p w:rsidR="00EB124B" w:rsidRDefault="00853EC4">
      <w:pPr>
        <w:pStyle w:val="ListParagraph1"/>
        <w:numPr>
          <w:ilvl w:val="0"/>
          <w:numId w:val="1"/>
        </w:numPr>
        <w:pBdr>
          <w:top w:val="dotted" w:sz="6" w:space="0" w:color="FEFEFE"/>
          <w:left w:val="dotted" w:sz="6" w:space="11" w:color="FEFEFE"/>
          <w:bottom w:val="dotted" w:sz="6" w:space="0" w:color="FEFEFE"/>
          <w:right w:val="dotted" w:sz="6" w:space="0" w:color="FEFEFE"/>
        </w:pBdr>
        <w:ind w:left="0" w:right="72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cs="Verdana"/>
          <w:b/>
          <w:bCs/>
          <w:lang w:eastAsia="en-US"/>
        </w:rPr>
        <w:pict>
          <v:rect id="Rectangle 2" o:spid="_x0000_s1027" style="position:absolute;left:0;text-align:left;margin-left:12.8pt;margin-top:2.6pt;width:6.65pt;height:7.5pt;z-index:2" o:preferrelative="t" strokecolor="#42719b">
            <v:stroke miterlimit="2"/>
          </v:rect>
        </w:pict>
      </w:r>
      <w:proofErr w:type="spellStart"/>
      <w:r>
        <w:rPr>
          <w:rFonts w:ascii="Times New Roman" w:eastAsia="SimSun" w:hAnsi="Times New Roman"/>
          <w:sz w:val="24"/>
          <w:szCs w:val="24"/>
        </w:rPr>
        <w:t>toate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diferențele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principale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individualizate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noua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decizie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impunere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SimSun" w:hAnsi="Times New Roman"/>
          <w:sz w:val="24"/>
          <w:szCs w:val="24"/>
        </w:rPr>
        <w:t>fost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stinse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prin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orice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modalitate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prevăzută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art. 22 din </w:t>
      </w:r>
      <w:proofErr w:type="spellStart"/>
      <w:r>
        <w:rPr>
          <w:rFonts w:ascii="Times New Roman" w:eastAsia="SimSun" w:hAnsi="Times New Roman"/>
          <w:sz w:val="24"/>
          <w:szCs w:val="24"/>
          <w:shd w:val="clear" w:color="auto" w:fill="FFFFFF"/>
        </w:rPr>
        <w:t>Legea</w:t>
      </w:r>
      <w:proofErr w:type="spellEnd"/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. 207/2015 </w:t>
      </w:r>
      <w:proofErr w:type="spellStart"/>
      <w:r>
        <w:rPr>
          <w:rFonts w:ascii="Times New Roman" w:eastAsia="SimSun" w:hAnsi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  <w:shd w:val="clear" w:color="auto" w:fill="FFFFFF"/>
        </w:rPr>
        <w:t>procedură</w:t>
      </w:r>
      <w:proofErr w:type="spellEnd"/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shd w:val="clear" w:color="auto" w:fill="FFFFFF"/>
        </w:rPr>
        <w:t>fiscală</w:t>
      </w:r>
      <w:proofErr w:type="spellEnd"/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eastAsia="SimSun" w:hAnsi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shd w:val="clear" w:color="auto" w:fill="FFFFFF"/>
        </w:rPr>
        <w:t>co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mpletările</w:t>
      </w:r>
      <w:proofErr w:type="spellEnd"/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până</w:t>
      </w:r>
      <w:proofErr w:type="spellEnd"/>
      <w:proofErr w:type="gramEnd"/>
      <w:r>
        <w:rPr>
          <w:rFonts w:ascii="Times New Roman" w:eastAsia="SimSu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SimSun" w:hAnsi="Times New Roman"/>
          <w:sz w:val="24"/>
          <w:szCs w:val="24"/>
        </w:rPr>
        <w:t>termenul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plată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prevăzut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la 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art. 156 </w:t>
      </w:r>
      <w:proofErr w:type="spellStart"/>
      <w:r>
        <w:rPr>
          <w:rFonts w:ascii="Times New Roman" w:eastAsia="SimSun" w:hAnsi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eastAsia="SimSun" w:hAnsi="Times New Roman"/>
          <w:sz w:val="24"/>
          <w:szCs w:val="24"/>
          <w:shd w:val="clear" w:color="auto" w:fill="FFFFFF"/>
        </w:rPr>
        <w:t>. (1)</w:t>
      </w:r>
      <w:r>
        <w:rPr>
          <w:rFonts w:ascii="Times New Roman" w:eastAsia="SimSu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SimSun" w:hAnsi="Times New Roman"/>
          <w:sz w:val="24"/>
          <w:szCs w:val="24"/>
        </w:rPr>
        <w:t>aceeași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lege</w:t>
      </w:r>
      <w:proofErr w:type="spellEnd"/>
      <w:r>
        <w:rPr>
          <w:rFonts w:ascii="Times New Roman" w:eastAsia="SimSun" w:hAnsi="Times New Roman"/>
          <w:sz w:val="24"/>
          <w:szCs w:val="24"/>
        </w:rPr>
        <w:t>.</w:t>
      </w:r>
    </w:p>
    <w:p w:rsidR="00EB124B" w:rsidRDefault="00EB124B">
      <w:pPr>
        <w:pStyle w:val="spar4"/>
        <w:rPr>
          <w:rFonts w:ascii="Times New Roman" w:hAnsi="Times New Roman"/>
          <w:sz w:val="24"/>
          <w:szCs w:val="24"/>
        </w:rPr>
      </w:pPr>
    </w:p>
    <w:p w:rsidR="00EB124B" w:rsidRDefault="00853EC4">
      <w:pPr>
        <w:jc w:val="both"/>
        <w:rPr>
          <w:rStyle w:val="spar5"/>
          <w:rFonts w:ascii="Times New Roman" w:eastAsia="SimSu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Împotriva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prezentei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se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poate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formula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contestație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potrivit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prevederilor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art. 268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269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Legea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. 207/2015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procedură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termenul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prevăzut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art. 270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aceluiași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act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normativ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sub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sancțiunea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decăderii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Contestația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se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depune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organul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fiscal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emitent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deciziei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Prezenta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produce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efecte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juridice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față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dumneavoastră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de la data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comunicării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acesteia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potrivit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art. 47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Legea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 207/2015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.</w:t>
      </w:r>
    </w:p>
    <w:p w:rsidR="00EB124B" w:rsidRDefault="00EB124B">
      <w:pPr>
        <w:jc w:val="both"/>
        <w:rPr>
          <w:rStyle w:val="spar5"/>
          <w:rFonts w:ascii="Times New Roman" w:eastAsia="SimSun" w:hAnsi="Times New Roman"/>
          <w:sz w:val="24"/>
          <w:szCs w:val="24"/>
        </w:rPr>
      </w:pPr>
    </w:p>
    <w:p w:rsidR="00EB124B" w:rsidRDefault="00EB124B">
      <w:pPr>
        <w:jc w:val="both"/>
        <w:rPr>
          <w:rFonts w:ascii="Times New Roman" w:hAnsi="Times New Roman"/>
          <w:sz w:val="24"/>
          <w:szCs w:val="24"/>
        </w:rPr>
      </w:pPr>
    </w:p>
    <w:p w:rsidR="00EB124B" w:rsidRDefault="00853EC4">
      <w:pPr>
        <w:pStyle w:val="spar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Conducătorul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fiscale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B124B" w:rsidRDefault="00853EC4">
      <w:pPr>
        <w:pStyle w:val="spar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</w:t>
      </w:r>
    </w:p>
    <w:p w:rsidR="00EB124B" w:rsidRDefault="00853EC4">
      <w:pPr>
        <w:pStyle w:val="spar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ștampila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</w:t>
      </w:r>
    </w:p>
    <w:p w:rsidR="00EB124B" w:rsidRDefault="00EB124B">
      <w:pPr>
        <w:pStyle w:val="spar4"/>
        <w:jc w:val="center"/>
        <w:rPr>
          <w:rFonts w:ascii="Times New Roman" w:hAnsi="Times New Roman"/>
          <w:sz w:val="24"/>
          <w:szCs w:val="24"/>
        </w:rPr>
      </w:pPr>
    </w:p>
    <w:p w:rsidR="00EB124B" w:rsidRDefault="00EB124B">
      <w:pPr>
        <w:pStyle w:val="spar4"/>
        <w:jc w:val="center"/>
        <w:rPr>
          <w:rFonts w:ascii="Times New Roman" w:hAnsi="Times New Roman"/>
          <w:sz w:val="24"/>
          <w:szCs w:val="24"/>
        </w:rPr>
      </w:pPr>
    </w:p>
    <w:p w:rsidR="00EB124B" w:rsidRDefault="00EB124B">
      <w:pPr>
        <w:pStyle w:val="spar4"/>
        <w:jc w:val="center"/>
        <w:rPr>
          <w:rFonts w:ascii="Times New Roman" w:hAnsi="Times New Roman"/>
          <w:sz w:val="24"/>
          <w:szCs w:val="24"/>
        </w:rPr>
      </w:pPr>
    </w:p>
    <w:p w:rsidR="00EB124B" w:rsidRDefault="00EB124B">
      <w:pPr>
        <w:pStyle w:val="spar4"/>
        <w:jc w:val="center"/>
        <w:rPr>
          <w:rFonts w:ascii="Times New Roman" w:hAnsi="Times New Roman"/>
          <w:sz w:val="24"/>
          <w:szCs w:val="24"/>
        </w:rPr>
      </w:pPr>
    </w:p>
    <w:p w:rsidR="00EB124B" w:rsidRDefault="00853EC4">
      <w:pPr>
        <w:jc w:val="both"/>
        <w:rPr>
          <w:rStyle w:val="spar5"/>
          <w:rFonts w:ascii="Times New Roman" w:eastAsia="SimSun" w:hAnsi="Times New Roman"/>
          <w:sz w:val="18"/>
          <w:szCs w:val="18"/>
        </w:rPr>
      </w:pPr>
      <w:r>
        <w:rPr>
          <w:rStyle w:val="spar5"/>
          <w:rFonts w:ascii="Times New Roman" w:eastAsia="SimSun" w:hAnsi="Times New Roman"/>
          <w:sz w:val="18"/>
          <w:szCs w:val="18"/>
        </w:rPr>
        <w:t xml:space="preserve">Document care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co</w:t>
      </w:r>
      <w:r>
        <w:rPr>
          <w:rStyle w:val="spar5"/>
          <w:rFonts w:ascii="Times New Roman" w:eastAsia="SimSun" w:hAnsi="Times New Roman"/>
          <w:sz w:val="18"/>
          <w:szCs w:val="18"/>
        </w:rPr>
        <w:t>nține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date cu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caracter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personal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protejate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prevederile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Regulamentului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(UE) 2016/679</w:t>
      </w:r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</w:p>
    <w:sectPr w:rsidR="00EB124B">
      <w:pgSz w:w="12240" w:h="15840"/>
      <w:pgMar w:top="540" w:right="720" w:bottom="720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058A"/>
    <w:multiLevelType w:val="multilevel"/>
    <w:tmpl w:val="3398058A"/>
    <w:lvl w:ilvl="0">
      <w:start w:val="2"/>
      <w:numFmt w:val="bullet"/>
      <w:lvlText w:val="-"/>
      <w:lvlJc w:val="left"/>
      <w:pPr>
        <w:ind w:left="870" w:hanging="360"/>
      </w:pPr>
      <w:rPr>
        <w:rFonts w:ascii="Times New Roman" w:eastAsia="SimSu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bordersDoNotSurroundHeader/>
  <w:bordersDoNotSurroundFooter/>
  <w:proofState w:spelling="clean" w:grammar="clean"/>
  <w:trackRevisions/>
  <w:doNotTrackMoves/>
  <w:defaultTabStop w:val="720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24B"/>
    <w:rsid w:val="00853EC4"/>
    <w:rsid w:val="00EB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5257C76"/>
  <w15:docId w15:val="{A6EC0540-A5B1-4621-8D82-F7D8684B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160" w:line="259" w:lineRule="auto"/>
    </w:pPr>
    <w:rPr>
      <w:rFonts w:ascii="Verdana" w:eastAsia="Verdana" w:hAnsi="Verdana"/>
      <w:sz w:val="18"/>
      <w:szCs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customStyle="1" w:styleId="spar4">
    <w:name w:val="s_par4"/>
    <w:basedOn w:val="Normal"/>
    <w:rPr>
      <w:rFonts w:eastAsia="Calibri"/>
      <w:sz w:val="10"/>
      <w:szCs w:val="10"/>
    </w:rPr>
  </w:style>
  <w:style w:type="paragraph" w:customStyle="1" w:styleId="sanxttl">
    <w:name w:val="s_anx_ttl"/>
    <w:basedOn w:val="Normal"/>
    <w:pPr>
      <w:jc w:val="center"/>
    </w:pPr>
    <w:rPr>
      <w:rFonts w:eastAsia="Calibri"/>
      <w:b/>
      <w:bCs/>
      <w:color w:val="24689B"/>
      <w:sz w:val="19"/>
      <w:szCs w:val="19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pPr>
      <w:spacing w:after="160" w:line="259" w:lineRule="auto"/>
    </w:pPr>
    <w:rPr>
      <w:rFonts w:ascii="Verdana" w:eastAsia="Verdana" w:hAnsi="Verdana"/>
      <w:sz w:val="18"/>
      <w:szCs w:val="16"/>
      <w:lang w:eastAsia="zh-CN"/>
    </w:rPr>
  </w:style>
  <w:style w:type="character" w:customStyle="1" w:styleId="spar5">
    <w:name w:val="s_par5"/>
    <w:rPr>
      <w:rFonts w:ascii="Verdana" w:hAnsi="Verdana" w:cs="Verdana" w:hint="default"/>
      <w:sz w:val="10"/>
      <w:szCs w:val="10"/>
    </w:rPr>
  </w:style>
  <w:style w:type="character" w:customStyle="1" w:styleId="slitttl1">
    <w:name w:val="s_lit_ttl1"/>
    <w:rPr>
      <w:rFonts w:ascii="Verdana" w:hAnsi="Verdana" w:cs="Verdana" w:hint="default"/>
      <w:b/>
      <w:bCs/>
      <w:color w:val="8B0000"/>
    </w:rPr>
  </w:style>
  <w:style w:type="character" w:customStyle="1" w:styleId="CommentTextChar">
    <w:name w:val="Comment Text Char"/>
    <w:link w:val="CommentText"/>
    <w:uiPriority w:val="99"/>
    <w:semiHidden/>
    <w:rPr>
      <w:rFonts w:ascii="Verdana" w:eastAsia="Verdana" w:hAnsi="Verdana" w:cs="Times New Roman"/>
      <w:sz w:val="20"/>
      <w:szCs w:val="20"/>
      <w:lang w:eastAsia="zh-CN"/>
    </w:rPr>
  </w:style>
  <w:style w:type="character" w:customStyle="1" w:styleId="CommentSubjectChar">
    <w:name w:val="Comment Subject Char"/>
    <w:link w:val="CommentSubject"/>
    <w:uiPriority w:val="99"/>
    <w:semiHidden/>
    <w:rPr>
      <w:rFonts w:ascii="Verdana" w:eastAsia="Verdana" w:hAnsi="Verdana" w:cs="Times New Roman"/>
      <w:b/>
      <w:bCs/>
      <w:sz w:val="20"/>
      <w:szCs w:val="20"/>
      <w:lang w:eastAsia="zh-CN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Verdan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nr. 9 </vt:lpstr>
    </vt:vector>
  </TitlesOfParts>
  <Company>Ministerul Finantelor Publice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nr. 9 </dc:title>
  <dc:creator>MARIA-GEORGIANA STOIAN</dc:creator>
  <cp:lastModifiedBy>Vasilica Imbrisca</cp:lastModifiedBy>
  <cp:revision>1</cp:revision>
  <cp:lastPrinted>2024-10-21T07:21:00Z</cp:lastPrinted>
  <dcterms:created xsi:type="dcterms:W3CDTF">2024-09-25T17:39:00Z</dcterms:created>
  <dcterms:modified xsi:type="dcterms:W3CDTF">2024-10-21T07:21:00Z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