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DA" w:rsidRDefault="003B4DDA" w:rsidP="003B4DDA">
      <w:pPr>
        <w:jc w:val="both"/>
      </w:pPr>
      <w:r>
        <w:t>POLITICI ȘI PROCEDURI INTERNE AML/CFT</w:t>
      </w:r>
    </w:p>
    <w:p w:rsidR="003B4DDA" w:rsidRDefault="003B4DDA" w:rsidP="003B4DDA">
      <w:pPr>
        <w:jc w:val="both"/>
      </w:pPr>
      <w:r>
        <w:t>(Model pentru adaptare internă)</w:t>
      </w:r>
    </w:p>
    <w:p w:rsidR="003B4DDA" w:rsidRDefault="003B4DDA" w:rsidP="003B4DDA">
      <w:pPr>
        <w:jc w:val="both"/>
      </w:pPr>
    </w:p>
    <w:p w:rsidR="003B4DDA" w:rsidRDefault="003B4DDA" w:rsidP="003B4DDA">
      <w:pPr>
        <w:jc w:val="both"/>
      </w:pPr>
      <w:r>
        <w:t>I. Scopul documentului</w:t>
      </w:r>
    </w:p>
    <w:p w:rsidR="003B4DDA" w:rsidRDefault="003B4DDA" w:rsidP="003B4DDA">
      <w:pPr>
        <w:jc w:val="both"/>
      </w:pPr>
      <w:r>
        <w:t>Prezentele politici stabilesc cadrul intern pentru aplicarea măsurilor de prevenire și combatere a spălării banilor și a finanțării terorismului, conform:</w:t>
      </w:r>
    </w:p>
    <w:p w:rsidR="003B4DDA" w:rsidRDefault="003B4DDA" w:rsidP="003B4DDA">
      <w:pPr>
        <w:jc w:val="both"/>
      </w:pPr>
    </w:p>
    <w:p w:rsidR="003B4DDA" w:rsidRDefault="003B4DDA" w:rsidP="003B4DDA">
      <w:pPr>
        <w:jc w:val="both"/>
      </w:pPr>
      <w:r>
        <w:t>Legea nr. 129/2019, cu modificările și completările ulterioare;</w:t>
      </w:r>
    </w:p>
    <w:p w:rsidR="003B4DDA" w:rsidRDefault="003B4DDA" w:rsidP="003B4DDA">
      <w:pPr>
        <w:jc w:val="both"/>
      </w:pPr>
      <w:r>
        <w:t>Normele de aplicare aprobate prin HG nr. 1119/2020;</w:t>
      </w:r>
    </w:p>
    <w:p w:rsidR="003B4DDA" w:rsidRDefault="003B4DDA" w:rsidP="003B4DDA">
      <w:pPr>
        <w:jc w:val="both"/>
      </w:pPr>
      <w:r>
        <w:t>Legea nr. 86/2025 (Monitorul Oficial nr. 483/23.05.2025);</w:t>
      </w:r>
    </w:p>
    <w:p w:rsidR="003B4DDA" w:rsidRDefault="003B4DDA" w:rsidP="003B4DDA">
      <w:pPr>
        <w:jc w:val="both"/>
      </w:pPr>
      <w:r>
        <w:t>Regulamentul (UE) 2024/1620 privind instituirea Autorității AMLA.</w:t>
      </w:r>
    </w:p>
    <w:p w:rsidR="003B4DDA" w:rsidRDefault="003B4DDA" w:rsidP="003B4DDA">
      <w:pPr>
        <w:jc w:val="both"/>
      </w:pPr>
      <w:r>
        <w:t>Documentul este obligatoriu pentru toți angajații și colaboratorii societății.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II. Domeniul de aplicare</w:t>
      </w:r>
    </w:p>
    <w:p w:rsidR="003B4DDA" w:rsidRDefault="003B4DDA" w:rsidP="003B4DDA">
      <w:pPr>
        <w:jc w:val="both"/>
      </w:pPr>
      <w:r>
        <w:t>Se aplică tuturor activităților de consultanță, contabilitate, servicii financiare, comerciale sau de intermediere efectuate de societate, indiferent dacă implică sau nu operațiuni în numerar.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III. Principii generale</w:t>
      </w:r>
    </w:p>
    <w:p w:rsidR="003B4DDA" w:rsidRDefault="003B4DDA" w:rsidP="003B4DDA">
      <w:pPr>
        <w:jc w:val="both"/>
      </w:pPr>
      <w:r>
        <w:t>Cunoașterea clientelei (KYC) și determinarea beneficiarului real;</w:t>
      </w:r>
    </w:p>
    <w:p w:rsidR="003B4DDA" w:rsidRDefault="003B4DDA" w:rsidP="003B4DDA">
      <w:pPr>
        <w:jc w:val="both"/>
      </w:pPr>
      <w:r>
        <w:t>Evaluarea și clasificarea riscurilor;</w:t>
      </w:r>
    </w:p>
    <w:p w:rsidR="003B4DDA" w:rsidRDefault="003B4DDA" w:rsidP="003B4DDA">
      <w:pPr>
        <w:jc w:val="both"/>
      </w:pPr>
      <w:r>
        <w:t>Aplicarea măsurilor corespunzătoare nivelului de risc;</w:t>
      </w:r>
    </w:p>
    <w:p w:rsidR="003B4DDA" w:rsidRDefault="003B4DDA" w:rsidP="003B4DDA">
      <w:pPr>
        <w:jc w:val="both"/>
      </w:pPr>
      <w:r>
        <w:t>Raportarea tranzacțiilor suspecte către ONPCSB;</w:t>
      </w:r>
    </w:p>
    <w:p w:rsidR="003B4DDA" w:rsidRDefault="003B4DDA" w:rsidP="003B4DDA">
      <w:pPr>
        <w:jc w:val="both"/>
      </w:pPr>
      <w:r>
        <w:t>Păstrarea documentelor pentru minimum 5 ani de la încetarea relației cu clientul;</w:t>
      </w:r>
    </w:p>
    <w:p w:rsidR="003B4DDA" w:rsidRDefault="003B4DDA" w:rsidP="003B4DDA">
      <w:pPr>
        <w:jc w:val="both"/>
      </w:pPr>
      <w:r>
        <w:t>Formarea și instruirea periodică a personalului.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IV. Procesul de cunoaștere a clientelei (KYC)</w:t>
      </w:r>
    </w:p>
    <w:p w:rsidR="003B4DDA" w:rsidRDefault="0008199C" w:rsidP="003B4DDA">
      <w:pPr>
        <w:jc w:val="both"/>
      </w:pPr>
      <w:r>
        <w:t>Etape principale:</w:t>
      </w:r>
    </w:p>
    <w:p w:rsidR="003B4DDA" w:rsidRDefault="003B4DDA" w:rsidP="003B4DDA">
      <w:pPr>
        <w:jc w:val="both"/>
      </w:pPr>
      <w:r>
        <w:t>Identificarea clientului (persoană fizică / juridică) – act de identitate, certificat de înregistrare, extras ONRC, etc.;</w:t>
      </w:r>
    </w:p>
    <w:p w:rsidR="003B4DDA" w:rsidRDefault="003B4DDA" w:rsidP="003B4DDA">
      <w:pPr>
        <w:jc w:val="both"/>
      </w:pPr>
      <w:r>
        <w:t>Verificarea beneficiarului real conform Registrului beneficiarilor reali;</w:t>
      </w:r>
    </w:p>
    <w:p w:rsidR="003B4DDA" w:rsidRDefault="003B4DDA" w:rsidP="003B4DDA">
      <w:pPr>
        <w:jc w:val="both"/>
      </w:pPr>
      <w:r>
        <w:t>Înțelegerea scopului și naturii relației de afaceri;</w:t>
      </w:r>
    </w:p>
    <w:p w:rsidR="003B4DDA" w:rsidRDefault="003B4DDA" w:rsidP="003B4DDA">
      <w:pPr>
        <w:jc w:val="both"/>
      </w:pPr>
      <w:r>
        <w:t>Clasificarea clientului în funcție de risc (scăzut, standard sau ridicat);</w:t>
      </w:r>
    </w:p>
    <w:p w:rsidR="003B4DDA" w:rsidRDefault="003B4DDA" w:rsidP="003B4DDA">
      <w:pPr>
        <w:jc w:val="both"/>
      </w:pPr>
      <w:r>
        <w:lastRenderedPageBreak/>
        <w:t>Monitorizarea continuă a tranzacțiilor și actualizarea datelor.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V. Analiza și evaluarea riscului</w:t>
      </w:r>
    </w:p>
    <w:p w:rsidR="003B4DDA" w:rsidRDefault="003B4DDA" w:rsidP="003B4DDA">
      <w:pPr>
        <w:jc w:val="both"/>
      </w:pPr>
      <w:r>
        <w:t>Societatea aplică o abordare bazată pe risc, conform principiilor AML/CFT:</w:t>
      </w:r>
    </w:p>
    <w:p w:rsidR="003B4DDA" w:rsidRDefault="003B4DDA" w:rsidP="003B4DDA">
      <w:pPr>
        <w:jc w:val="both"/>
      </w:pPr>
    </w:p>
    <w:p w:rsidR="003B4DDA" w:rsidRDefault="003B4DDA" w:rsidP="003B4DDA">
      <w:pPr>
        <w:jc w:val="both"/>
      </w:pPr>
      <w:r>
        <w:t>Tip de risc</w:t>
      </w:r>
      <w:r>
        <w:tab/>
        <w:t>Exemplu</w:t>
      </w:r>
      <w:r>
        <w:tab/>
        <w:t>Măsură aplicată</w:t>
      </w:r>
    </w:p>
    <w:p w:rsidR="003B4DDA" w:rsidRDefault="003B4DDA" w:rsidP="003B4DDA">
      <w:pPr>
        <w:jc w:val="both"/>
      </w:pPr>
      <w:r>
        <w:t>Risc scăzut</w:t>
      </w:r>
      <w:r>
        <w:tab/>
        <w:t>Client local, activitate transparentă</w:t>
      </w:r>
      <w:r>
        <w:tab/>
        <w:t>Măsuri standard</w:t>
      </w:r>
    </w:p>
    <w:p w:rsidR="003B4DDA" w:rsidRDefault="003B4DDA" w:rsidP="003B4DDA">
      <w:pPr>
        <w:jc w:val="both"/>
      </w:pPr>
      <w:r>
        <w:t>Risc mediu</w:t>
      </w:r>
      <w:r>
        <w:tab/>
        <w:t>Activitate mixtă, mai multe surse de venit</w:t>
      </w:r>
      <w:r>
        <w:tab/>
        <w:t>Monitorizare sporită</w:t>
      </w:r>
    </w:p>
    <w:p w:rsidR="003B4DDA" w:rsidRDefault="003B4DDA" w:rsidP="003B4DDA">
      <w:pPr>
        <w:jc w:val="both"/>
      </w:pPr>
      <w:r>
        <w:t>Risc ridicat</w:t>
      </w:r>
      <w:r>
        <w:tab/>
        <w:t>PEP, tranzacții complexe, numerar frecvent</w:t>
      </w:r>
      <w:r>
        <w:tab/>
        <w:t>Măsuri sporite de cunoaștere + raportare potențială</w:t>
      </w:r>
    </w:p>
    <w:p w:rsidR="003B4DDA" w:rsidRDefault="003B4DDA" w:rsidP="003B4DDA">
      <w:pPr>
        <w:jc w:val="both"/>
      </w:pPr>
      <w:r>
        <w:t>Matricea de risc se actualizează anual sau ori de câte ori intervin modificări semnificative.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VI. Mecanisme de control intern</w:t>
      </w:r>
    </w:p>
    <w:p w:rsidR="003B4DDA" w:rsidRDefault="003B4DDA" w:rsidP="003B4DDA">
      <w:pPr>
        <w:jc w:val="both"/>
      </w:pPr>
      <w:r>
        <w:t>Înființarea unei funcții interne AML (persoana desemnată);</w:t>
      </w:r>
    </w:p>
    <w:p w:rsidR="003B4DDA" w:rsidRDefault="003B4DDA" w:rsidP="003B4DDA">
      <w:pPr>
        <w:jc w:val="both"/>
      </w:pPr>
      <w:r>
        <w:t>Verificări interne periodice asupra modului de aplicare a procedurilor;</w:t>
      </w:r>
    </w:p>
    <w:p w:rsidR="003B4DDA" w:rsidRDefault="003B4DDA" w:rsidP="003B4DDA">
      <w:pPr>
        <w:jc w:val="both"/>
      </w:pPr>
      <w:r>
        <w:t>Arhivarea securizată a documentației și menținerea controlului asupra accesului la date (GDPR – Legea 86/2025).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VII. Persoana desemnată pentru AML</w:t>
      </w:r>
    </w:p>
    <w:p w:rsidR="003B4DDA" w:rsidRDefault="003B4DDA" w:rsidP="003B4DDA">
      <w:pPr>
        <w:jc w:val="both"/>
      </w:pPr>
      <w:r>
        <w:t>Societatea numește o persoană responsabilă pentru implement</w:t>
      </w:r>
      <w:r w:rsidR="0008199C">
        <w:t>area politicilor AML/CFT, care: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coordonează procesul KYC;</w:t>
      </w:r>
    </w:p>
    <w:p w:rsidR="003B4DDA" w:rsidRDefault="003B4DDA" w:rsidP="003B4DDA">
      <w:pPr>
        <w:jc w:val="both"/>
      </w:pPr>
      <w:r>
        <w:t>menține Registrul de risc al clienților;</w:t>
      </w:r>
    </w:p>
    <w:p w:rsidR="003B4DDA" w:rsidRDefault="003B4DDA" w:rsidP="003B4DDA">
      <w:pPr>
        <w:jc w:val="both"/>
      </w:pPr>
      <w:r>
        <w:t>transmite RTS (Raport de tranzacție suspectă) și RTN (Raport de tranzacție numerar ≥ 10.000 EUR) către ONPCSB;</w:t>
      </w:r>
    </w:p>
    <w:p w:rsidR="003B4DDA" w:rsidRDefault="003B4DDA" w:rsidP="003B4DDA">
      <w:pPr>
        <w:jc w:val="both"/>
      </w:pPr>
      <w:r>
        <w:t>asigură instruirea personalului.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VIII. Documente și evidențe obligatorii</w:t>
      </w:r>
    </w:p>
    <w:p w:rsidR="003B4DDA" w:rsidRDefault="003B4DDA" w:rsidP="003B4DDA">
      <w:pPr>
        <w:jc w:val="both"/>
      </w:pPr>
      <w:r>
        <w:t>Dosarul clientului (KYC);</w:t>
      </w:r>
    </w:p>
    <w:p w:rsidR="003B4DDA" w:rsidRDefault="003B4DDA" w:rsidP="003B4DDA">
      <w:pPr>
        <w:jc w:val="both"/>
      </w:pPr>
      <w:r>
        <w:t>Registrul de risc al clienților;</w:t>
      </w:r>
    </w:p>
    <w:p w:rsidR="003B4DDA" w:rsidRDefault="003B4DDA" w:rsidP="003B4DDA">
      <w:pPr>
        <w:jc w:val="both"/>
      </w:pPr>
      <w:r>
        <w:t>Analiza de risc a companiei;</w:t>
      </w:r>
    </w:p>
    <w:p w:rsidR="003B4DDA" w:rsidRDefault="003B4DDA" w:rsidP="003B4DDA">
      <w:pPr>
        <w:jc w:val="both"/>
      </w:pPr>
      <w:r>
        <w:t>Raportările AML;</w:t>
      </w:r>
    </w:p>
    <w:p w:rsidR="003B4DDA" w:rsidRDefault="003B4DDA" w:rsidP="003B4DDA">
      <w:pPr>
        <w:jc w:val="both"/>
      </w:pPr>
      <w:r>
        <w:lastRenderedPageBreak/>
        <w:t>Dovada instruirilor anuale.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IX. Raportarea către ONPCSB</w:t>
      </w:r>
    </w:p>
    <w:p w:rsidR="003B4DDA" w:rsidRDefault="003B4DDA" w:rsidP="003B4DDA">
      <w:pPr>
        <w:jc w:val="both"/>
      </w:pPr>
      <w:r>
        <w:t>Raportările se transmit numai în cazul în care este identificată o tranzacție suspectă sau o operațiune în numerar peste plafon. Forma standard este electronică, prin portalul ONPCSB.</w:t>
      </w:r>
    </w:p>
    <w:p w:rsidR="0008199C" w:rsidRDefault="0008199C" w:rsidP="003B4DDA">
      <w:pPr>
        <w:jc w:val="both"/>
      </w:pPr>
    </w:p>
    <w:p w:rsidR="003B4DDA" w:rsidRDefault="003B4DDA" w:rsidP="003B4DDA">
      <w:pPr>
        <w:jc w:val="both"/>
      </w:pPr>
      <w:r>
        <w:t>X. Instruirea și responsabilizarea personalului</w:t>
      </w:r>
    </w:p>
    <w:p w:rsidR="003B4DDA" w:rsidRDefault="003B4DDA" w:rsidP="003B4DDA">
      <w:pPr>
        <w:jc w:val="both"/>
      </w:pPr>
      <w:r>
        <w:t>Toți angajații trebuie să participe cel puțin o dată pe an la sesiuni de instruire privind aplicarea Legii 129/2019, potrivit orientărilor ONPCSB și CCF.</w:t>
      </w:r>
    </w:p>
    <w:p w:rsidR="003B4DDA" w:rsidRDefault="003B4DDA" w:rsidP="003B4DDA">
      <w:pPr>
        <w:jc w:val="both"/>
      </w:pPr>
      <w:bookmarkStart w:id="0" w:name="_GoBack"/>
      <w:bookmarkEnd w:id="0"/>
      <w:r>
        <w:t>XI. Revizuirea documentului</w:t>
      </w:r>
    </w:p>
    <w:p w:rsidR="003B4DDA" w:rsidRDefault="003B4DDA" w:rsidP="003B4DDA">
      <w:pPr>
        <w:jc w:val="both"/>
      </w:pPr>
      <w:r>
        <w:t>Prezentele politici se revizuiesc anual sau ori de câte ori apar modificări legislative relevante.</w:t>
      </w:r>
    </w:p>
    <w:p w:rsidR="003B4DDA" w:rsidRDefault="003B4DDA" w:rsidP="003B4DDA">
      <w:pPr>
        <w:jc w:val="both"/>
      </w:pPr>
      <w:r>
        <w:t>XII. Aprobarea documentului</w:t>
      </w:r>
    </w:p>
    <w:p w:rsidR="003B4DDA" w:rsidRDefault="003B4DDA" w:rsidP="003B4DDA">
      <w:pPr>
        <w:jc w:val="both"/>
      </w:pPr>
      <w:r>
        <w:t>Politicile și procedurile AML sunt aprobate de Administratorul societății la data de ____ și intră în vigoare de la data semnării.</w:t>
      </w:r>
    </w:p>
    <w:p w:rsidR="003B4DDA" w:rsidRDefault="003B4DDA" w:rsidP="003B4DDA">
      <w:pPr>
        <w:jc w:val="both"/>
      </w:pPr>
    </w:p>
    <w:p w:rsidR="003B4DDA" w:rsidRDefault="003B4DDA" w:rsidP="003B4DDA">
      <w:pPr>
        <w:jc w:val="both"/>
      </w:pPr>
      <w:r>
        <w:t>Administrator: _____________________</w:t>
      </w:r>
    </w:p>
    <w:p w:rsidR="003B4DDA" w:rsidRDefault="003B4DDA" w:rsidP="003B4DDA">
      <w:pPr>
        <w:jc w:val="both"/>
      </w:pPr>
      <w:r>
        <w:t>Persoană desemnată AML: _____________________</w:t>
      </w:r>
    </w:p>
    <w:p w:rsidR="009A6C3E" w:rsidRDefault="003B4DDA" w:rsidP="003B4DDA">
      <w:pPr>
        <w:jc w:val="both"/>
      </w:pPr>
      <w:r>
        <w:t>Data: //____</w:t>
      </w:r>
    </w:p>
    <w:sectPr w:rsidR="009A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DA"/>
    <w:rsid w:val="0008199C"/>
    <w:rsid w:val="003B4DDA"/>
    <w:rsid w:val="009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195D-4DA6-4A19-9540-764C560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3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3</cp:revision>
  <dcterms:created xsi:type="dcterms:W3CDTF">2025-11-20T17:11:00Z</dcterms:created>
  <dcterms:modified xsi:type="dcterms:W3CDTF">2025-11-20T17:13:00Z</dcterms:modified>
</cp:coreProperties>
</file>