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EE" w:rsidRPr="002A185E" w:rsidRDefault="003748EE" w:rsidP="003748EE">
      <w:pPr>
        <w:spacing w:line="276" w:lineRule="auto"/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3748EE" w:rsidRPr="002A185E" w:rsidRDefault="003748EE" w:rsidP="003748EE">
      <w:pPr>
        <w:jc w:val="right"/>
        <w:rPr>
          <w:rFonts w:ascii="Trebuchet MS" w:hAnsi="Trebuchet MS"/>
          <w:b/>
          <w:sz w:val="22"/>
          <w:szCs w:val="22"/>
          <w:u w:val="single"/>
        </w:rPr>
      </w:pPr>
      <w:proofErr w:type="spellStart"/>
      <w:r w:rsidRPr="002A185E">
        <w:rPr>
          <w:rFonts w:ascii="Trebuchet MS" w:hAnsi="Trebuchet MS"/>
          <w:b/>
          <w:sz w:val="22"/>
          <w:szCs w:val="22"/>
          <w:u w:val="single"/>
        </w:rPr>
        <w:t>Proiect</w:t>
      </w:r>
      <w:proofErr w:type="spellEnd"/>
      <w:r w:rsidRPr="002A185E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3748EE" w:rsidRPr="002A185E" w:rsidRDefault="003748EE" w:rsidP="003748EE">
      <w:pPr>
        <w:jc w:val="right"/>
        <w:rPr>
          <w:rFonts w:ascii="Trebuchet MS" w:hAnsi="Trebuchet MS"/>
          <w:b/>
          <w:sz w:val="22"/>
          <w:szCs w:val="22"/>
          <w:u w:val="single"/>
        </w:rPr>
      </w:pPr>
    </w:p>
    <w:p w:rsidR="003748EE" w:rsidRPr="002A185E" w:rsidRDefault="003748EE" w:rsidP="003748EE">
      <w:pPr>
        <w:spacing w:line="276" w:lineRule="auto"/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3748EE" w:rsidRPr="002A185E" w:rsidRDefault="003748EE" w:rsidP="003748EE">
      <w:pPr>
        <w:spacing w:line="276" w:lineRule="auto"/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3748EE" w:rsidRPr="002A185E" w:rsidRDefault="003748EE" w:rsidP="003748EE">
      <w:pPr>
        <w:spacing w:line="276" w:lineRule="auto"/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  <w:r w:rsidRPr="002A185E">
        <w:rPr>
          <w:rFonts w:ascii="Trebuchet MS" w:hAnsi="Trebuchet MS" w:cs="Arial"/>
          <w:b/>
          <w:snapToGrid w:val="0"/>
          <w:sz w:val="22"/>
          <w:szCs w:val="22"/>
          <w:lang w:val="ro-RO"/>
        </w:rPr>
        <w:t>EXPUNERE DE MOTIVE</w:t>
      </w:r>
    </w:p>
    <w:p w:rsidR="003748EE" w:rsidRPr="002A185E" w:rsidRDefault="003748EE" w:rsidP="003748EE">
      <w:pPr>
        <w:spacing w:line="276" w:lineRule="auto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3748EE" w:rsidRPr="002A185E" w:rsidRDefault="003748EE" w:rsidP="003748EE">
      <w:pPr>
        <w:spacing w:line="276" w:lineRule="auto"/>
        <w:rPr>
          <w:rFonts w:ascii="Trebuchet MS" w:hAnsi="Trebuchet MS" w:cs="Arial"/>
          <w:snapToGrid w:val="0"/>
          <w:sz w:val="22"/>
          <w:szCs w:val="22"/>
          <w:lang w:val="ro-RO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10"/>
        <w:gridCol w:w="1842"/>
        <w:gridCol w:w="709"/>
        <w:gridCol w:w="709"/>
        <w:gridCol w:w="830"/>
        <w:gridCol w:w="1155"/>
      </w:tblGrid>
      <w:tr w:rsidR="003748EE" w:rsidRPr="002A185E" w:rsidTr="00D8732F">
        <w:trPr>
          <w:cantSplit/>
        </w:trPr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 xml:space="preserve">Secțiunea 1 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Titlul proiectului de act normativ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</w:p>
          <w:p w:rsidR="003748EE" w:rsidRPr="00533859" w:rsidRDefault="003748EE" w:rsidP="00D8732F">
            <w:pPr>
              <w:shd w:val="clear" w:color="auto" w:fill="FFFFFF"/>
              <w:spacing w:line="276" w:lineRule="auto"/>
              <w:jc w:val="center"/>
              <w:rPr>
                <w:rFonts w:ascii="Trebuchet MS" w:hAnsi="Trebuchet MS" w:cs="Arial"/>
                <w:b/>
                <w:iCs/>
                <w:sz w:val="22"/>
                <w:szCs w:val="22"/>
                <w:lang w:val="ro-RO"/>
              </w:rPr>
            </w:pPr>
            <w:r w:rsidRPr="00533859">
              <w:rPr>
                <w:rFonts w:ascii="Trebuchet MS" w:hAnsi="Trebuchet MS" w:cs="Arial"/>
                <w:b/>
                <w:iCs/>
                <w:sz w:val="22"/>
                <w:szCs w:val="22"/>
                <w:lang w:val="ro-RO"/>
              </w:rPr>
              <w:t>Proiect de Lege</w:t>
            </w:r>
          </w:p>
          <w:p w:rsidR="003748EE" w:rsidRPr="002A185E" w:rsidRDefault="003748EE" w:rsidP="00D8732F">
            <w:pPr>
              <w:shd w:val="clear" w:color="auto" w:fill="FFFFFF"/>
              <w:spacing w:line="276" w:lineRule="auto"/>
              <w:jc w:val="center"/>
              <w:rPr>
                <w:rFonts w:ascii="Trebuchet MS" w:hAnsi="Trebuchet MS" w:cs="Arial"/>
                <w:iCs/>
                <w:sz w:val="22"/>
                <w:szCs w:val="22"/>
                <w:lang w:val="ro-RO"/>
              </w:rPr>
            </w:pPr>
            <w:r w:rsidRPr="00533859">
              <w:rPr>
                <w:rFonts w:ascii="Trebuchet MS" w:hAnsi="Trebuchet MS" w:cs="Arial"/>
                <w:b/>
                <w:iCs/>
                <w:sz w:val="22"/>
                <w:szCs w:val="22"/>
                <w:lang w:val="ro-RO"/>
              </w:rPr>
              <w:t xml:space="preserve">privind </w:t>
            </w:r>
            <w:r>
              <w:rPr>
                <w:rFonts w:ascii="Trebuchet MS" w:hAnsi="Trebuchet MS" w:cs="Arial"/>
                <w:b/>
                <w:iCs/>
                <w:sz w:val="22"/>
                <w:szCs w:val="22"/>
                <w:lang w:val="ro-RO"/>
              </w:rPr>
              <w:t>registrul comerțului</w:t>
            </w:r>
          </w:p>
          <w:p w:rsidR="003748EE" w:rsidRPr="002A185E" w:rsidRDefault="003748EE" w:rsidP="00D8732F">
            <w:pPr>
              <w:shd w:val="clear" w:color="auto" w:fill="FFFFFF"/>
              <w:spacing w:line="276" w:lineRule="auto"/>
              <w:jc w:val="center"/>
              <w:rPr>
                <w:rFonts w:ascii="Trebuchet MS" w:hAnsi="Trebuchet MS" w:cs="Arial"/>
                <w:iCs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cantSplit/>
        </w:trPr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Secțiunea a 2-a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Motivul emiterii actului normativ</w:t>
            </w:r>
          </w:p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trHeight w:val="1691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1. Descrierea situației actuale </w:t>
            </w:r>
          </w:p>
        </w:tc>
        <w:tc>
          <w:tcPr>
            <w:tcW w:w="7655" w:type="dxa"/>
            <w:gridSpan w:val="6"/>
          </w:tcPr>
          <w:p w:rsidR="003748EE" w:rsidRDefault="003748EE" w:rsidP="00D8732F">
            <w:pPr>
              <w:spacing w:before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Ministerul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Justiţiei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a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iniţiat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un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proces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reformă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a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registrului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comerţului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în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doi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paşi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, la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finalul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acestuia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urmând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ca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atribuţiile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judecătorului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delegat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să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fie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exercitate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de un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registrator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3748EE" w:rsidRDefault="003748EE" w:rsidP="00D8732F">
            <w:pPr>
              <w:spacing w:before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sz w:val="22"/>
                <w:szCs w:val="22"/>
              </w:rPr>
              <w:t xml:space="preserve">Prima 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etapă</w:t>
            </w:r>
            <w:proofErr w:type="spellEnd"/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a 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r</w:t>
            </w:r>
            <w:r w:rsidRPr="007A3843">
              <w:rPr>
                <w:rFonts w:ascii="Trebuchet MS" w:hAnsi="Trebuchet MS" w:cs="Arial"/>
                <w:sz w:val="22"/>
                <w:szCs w:val="22"/>
              </w:rPr>
              <w:t>eformei</w:t>
            </w:r>
            <w:proofErr w:type="spellEnd"/>
            <w:r w:rsidRPr="007A384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   </w:t>
            </w:r>
            <w:r w:rsidRPr="007A3843">
              <w:rPr>
                <w:rFonts w:ascii="Trebuchet MS" w:hAnsi="Trebuchet MS" w:cs="Arial"/>
                <w:sz w:val="22"/>
                <w:szCs w:val="22"/>
              </w:rPr>
              <w:br/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registrului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A3843">
              <w:rPr>
                <w:rFonts w:ascii="Trebuchet MS" w:hAnsi="Trebuchet MS" w:cs="Arial"/>
                <w:sz w:val="22"/>
                <w:szCs w:val="22"/>
              </w:rPr>
              <w:t>comerţului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s-a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finalizat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prin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adoptarea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Ordonanței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urgență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Guvernului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nr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. 116 din 29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decembrie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2009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pentru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instituirea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unor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măsuri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privind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activitatea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înregistrare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în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registrul</w:t>
            </w:r>
            <w:proofErr w:type="spellEnd"/>
            <w:r w:rsidRPr="0053385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533859">
              <w:rPr>
                <w:rFonts w:ascii="Trebuchet MS" w:hAnsi="Trebuchet MS" w:cs="Arial"/>
                <w:sz w:val="22"/>
                <w:szCs w:val="22"/>
              </w:rPr>
              <w:t>comerţului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aprobată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modificări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completări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prin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Legea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nr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. 84/2018,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modificată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completată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prin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O.U.G.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nr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. 85/2010.</w:t>
            </w:r>
          </w:p>
          <w:p w:rsidR="003748EE" w:rsidRPr="00D50BEF" w:rsidRDefault="003748EE" w:rsidP="00D8732F">
            <w:pPr>
              <w:spacing w:before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Obiectivele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actului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normativ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adoptat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au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fost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3748EE" w:rsidRPr="00D50BEF" w:rsidRDefault="003748EE" w:rsidP="00D8732F">
            <w:pPr>
              <w:spacing w:before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●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reducerea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implicării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judecătorului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în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controlul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prealabil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al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înregistrării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operatorilor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economici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; </w:t>
            </w:r>
          </w:p>
          <w:p w:rsidR="003748EE" w:rsidRDefault="003748EE" w:rsidP="00D8732F">
            <w:pPr>
              <w:spacing w:before="12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●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pregătirea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cadrului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legislativ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şi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instituţional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pentru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transferul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tuturor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comp</w:t>
            </w:r>
            <w:r>
              <w:rPr>
                <w:rFonts w:ascii="Trebuchet MS" w:hAnsi="Trebuchet MS" w:cs="Arial"/>
                <w:sz w:val="22"/>
                <w:szCs w:val="22"/>
              </w:rPr>
              <w:t>etenţelor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de control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prealabil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î</w:t>
            </w:r>
            <w:r w:rsidRPr="00D50BEF">
              <w:rPr>
                <w:rFonts w:ascii="Trebuchet MS" w:hAnsi="Trebuchet MS" w:cs="Arial"/>
                <w:sz w:val="22"/>
                <w:szCs w:val="22"/>
              </w:rPr>
              <w:t>nregistr</w:t>
            </w:r>
            <w:r>
              <w:rPr>
                <w:rFonts w:ascii="Trebuchet MS" w:hAnsi="Trebuchet MS" w:cs="Arial"/>
                <w:sz w:val="22"/>
                <w:szCs w:val="22"/>
              </w:rPr>
              <w:t>ă</w:t>
            </w:r>
            <w:r w:rsidRPr="00D50BEF">
              <w:rPr>
                <w:rFonts w:ascii="Trebuchet MS" w:hAnsi="Trebuchet MS" w:cs="Arial"/>
                <w:sz w:val="22"/>
                <w:szCs w:val="22"/>
              </w:rPr>
              <w:t>rii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,</w:t>
            </w:r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ce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aparțineau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judecătorului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delegat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de control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preventiv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,</w:t>
            </w:r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către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o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funcție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publică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integrată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O.N.R.C.,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registratorul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registrul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D50BEF">
              <w:rPr>
                <w:rFonts w:ascii="Trebuchet MS" w:hAnsi="Trebuchet MS" w:cs="Arial"/>
                <w:sz w:val="22"/>
                <w:szCs w:val="22"/>
              </w:rPr>
              <w:t>comerţului</w:t>
            </w:r>
            <w:proofErr w:type="spellEnd"/>
            <w:r w:rsidRPr="00D50BEF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3748EE" w:rsidRDefault="003748EE" w:rsidP="00D8732F">
            <w:pPr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Planul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acțiuni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implementarea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Strategiei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dezvoltare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sistemului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judiciar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2015-2020,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aprobat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Hotărârea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Guvernului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. 282/2016, a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fost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prevăzut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ca </w:t>
            </w:r>
            <w:proofErr w:type="spellStart"/>
            <w:r w:rsidRPr="002A185E">
              <w:rPr>
                <w:rFonts w:ascii="Trebuchet MS" w:hAnsi="Trebuchet MS"/>
                <w:sz w:val="22"/>
                <w:szCs w:val="22"/>
              </w:rPr>
              <w:t>obiectiv</w:t>
            </w:r>
            <w:proofErr w:type="spellEnd"/>
            <w:r w:rsidRPr="002A185E">
              <w:rPr>
                <w:rFonts w:ascii="Trebuchet MS" w:hAnsi="Trebuchet MS"/>
                <w:sz w:val="22"/>
                <w:szCs w:val="22"/>
              </w:rPr>
              <w:t xml:space="preserve"> specific,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Proiectul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lege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96963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registrul</w:t>
            </w:r>
            <w:proofErr w:type="spellEnd"/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comerțului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, ca parte a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obiectivului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strategic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Consolidarea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capacității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administrative a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Ministerului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Justiției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instituțiilor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subordinea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coordonarea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96963">
              <w:rPr>
                <w:rFonts w:ascii="Trebuchet MS" w:hAnsi="Trebuchet MS"/>
                <w:sz w:val="22"/>
                <w:szCs w:val="22"/>
              </w:rPr>
              <w:t>sa</w:t>
            </w:r>
            <w:proofErr w:type="spellEnd"/>
            <w:r w:rsidRPr="00596963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3748EE" w:rsidRPr="0050357D" w:rsidRDefault="003748EE" w:rsidP="00D8732F">
            <w:pPr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aprobarea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acestui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proiect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lege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se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finalizează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din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perspectivă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legislativă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reforma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Registrului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Comerţului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demarată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decembrie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2009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restrângerea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rolului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judecătorului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delegat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3748EE" w:rsidRDefault="003748EE" w:rsidP="00D8732F">
            <w:pPr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357D">
              <w:rPr>
                <w:rFonts w:ascii="Trebuchet MS" w:hAnsi="Trebuchet MS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Întregul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proces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reformă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legislativă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activităţii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ONRC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este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gândit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veni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sprijinul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mediului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afaceri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răspunde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nevoilor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acestuia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simplificare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formalităţilor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administrative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birocratice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legate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iniţierea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derularea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unei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afaceri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România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3748EE" w:rsidRDefault="003748EE" w:rsidP="00D8732F">
            <w:pPr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Noua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iniţiativă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legislativă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are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meritul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codifica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dispoziţiile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legale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privitoare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operaţiunile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înregistrare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ale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tuturor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categoriilor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operatori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economici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3748EE" w:rsidRPr="0050357D" w:rsidRDefault="003748EE" w:rsidP="00D8732F">
            <w:pPr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prezentul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proiect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se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reglementează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statutul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registratorului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registru</w:t>
            </w:r>
            <w:proofErr w:type="spellEnd"/>
            <w:r w:rsidR="00230B47">
              <w:rPr>
                <w:rFonts w:ascii="Trebuchet MS" w:hAnsi="Trebuchet MS"/>
                <w:sz w:val="22"/>
                <w:szCs w:val="22"/>
              </w:rPr>
              <w:t>.</w:t>
            </w:r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3748EE" w:rsidRPr="0050357D" w:rsidRDefault="003748EE" w:rsidP="00D8732F">
            <w:pPr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termen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mediu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proiectul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prevede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înlocuirea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publicităţii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Monitorul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Oficial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actelor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profesioniștilor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înregistrați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registrul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comerțului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publicitatea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Buletinul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electronic al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Registrului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Comerţului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o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platformă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informatizată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uşor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accesibilă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publicului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larg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fără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costuri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3748EE" w:rsidRDefault="003748EE" w:rsidP="00D8732F">
            <w:pPr>
              <w:spacing w:before="1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acest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cadru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efectuarea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publicității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legale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platforma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electronică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centrală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corespunde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lângă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uniformizarea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acestui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demers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unor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cerințe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celeritate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efectuării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procedurilor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legale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înregistrare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precum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informării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timp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util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asupra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stadiului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soluționării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unor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cereri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3748EE" w:rsidRPr="002A185E" w:rsidRDefault="003748EE" w:rsidP="00D8732F">
            <w:pPr>
              <w:spacing w:before="120" w:line="276" w:lineRule="auto"/>
              <w:jc w:val="both"/>
              <w:rPr>
                <w:rFonts w:ascii="Trebuchet MS" w:hAnsi="Trebuchet MS" w:cs="Arial"/>
                <w:iCs/>
                <w:sz w:val="22"/>
                <w:szCs w:val="22"/>
                <w:lang w:val="ro-RO"/>
              </w:rPr>
            </w:pP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Noua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reglementare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lărgi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accesul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informaţiile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înregistrate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Registrul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Comerţului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inclusiv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crearea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premiselor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unei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comunicări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transfrontaliere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informaţiilor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între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Registrele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Comerţului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statele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membre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UE.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asemenea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proiectul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preia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soluţii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ale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legislaţiei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comunitare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reducere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simplificare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formalităţilor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publicitate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raportare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impuse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societăţilor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comerciale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implementarea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0357D">
              <w:rPr>
                <w:rFonts w:ascii="Trebuchet MS" w:hAnsi="Trebuchet MS"/>
                <w:sz w:val="22"/>
                <w:szCs w:val="22"/>
              </w:rPr>
              <w:t>Directivei</w:t>
            </w:r>
            <w:proofErr w:type="spellEnd"/>
            <w:r w:rsidRPr="0050357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46EDC">
              <w:rPr>
                <w:rFonts w:ascii="Trebuchet MS" w:hAnsi="Trebuchet MS"/>
                <w:sz w:val="22"/>
                <w:szCs w:val="22"/>
              </w:rPr>
              <w:t xml:space="preserve">(UE) 2017/1132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Parlamentului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European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Consiliului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din 14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iunie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2017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anumite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aspecte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ale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dreptului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societăţilor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comerciale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codificare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>)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ale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Directivei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46EDC">
              <w:rPr>
                <w:rFonts w:ascii="Trebuchet MS" w:hAnsi="Trebuchet MS"/>
                <w:sz w:val="22"/>
                <w:szCs w:val="22"/>
              </w:rPr>
              <w:tab/>
              <w:t xml:space="preserve">(UE) 2015/849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Parlamentului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European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Consiliului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din 20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2015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prevenirea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utilizării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sistemului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financiar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scopul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spălării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banilor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sau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finanțării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terorismului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, de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modificare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Regulamentului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(UE)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. 648/2012 al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Parlamentului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European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Consiliului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abrogare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Directivei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2005/60/CE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Parlamentului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European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Consiliului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746EDC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746EDC">
              <w:rPr>
                <w:rFonts w:ascii="Trebuchet MS" w:hAnsi="Trebuchet MS"/>
                <w:sz w:val="22"/>
                <w:szCs w:val="22"/>
              </w:rPr>
              <w:t>D</w:t>
            </w:r>
            <w:r>
              <w:rPr>
                <w:rFonts w:ascii="Trebuchet MS" w:hAnsi="Trebuchet MS"/>
                <w:sz w:val="22"/>
                <w:szCs w:val="22"/>
              </w:rPr>
              <w:t>irectivei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2006/70/CE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Comisiei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precum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Regulamentului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86AAB">
              <w:rPr>
                <w:rFonts w:ascii="Trebuchet MS" w:hAnsi="Trebuchet MS"/>
                <w:sz w:val="22"/>
                <w:szCs w:val="22"/>
              </w:rPr>
              <w:t xml:space="preserve">(UE) 2016/679 al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Parlamentului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European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Consiliului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din 27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aprilie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2016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protecția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persoanelor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fizice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ceea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ce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privește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prelucrarea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datelor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caracter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personal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libera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circulație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acestor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date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abrogare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Directivei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95/46/CE (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Regulamentul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general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protecția</w:t>
            </w:r>
            <w:proofErr w:type="spellEnd"/>
            <w:r w:rsidRPr="00486AA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86AAB">
              <w:rPr>
                <w:rFonts w:ascii="Trebuchet MS" w:hAnsi="Trebuchet MS"/>
                <w:sz w:val="22"/>
                <w:szCs w:val="22"/>
              </w:rPr>
              <w:t>datelor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).</w:t>
            </w:r>
          </w:p>
        </w:tc>
      </w:tr>
      <w:tr w:rsidR="003748EE" w:rsidRPr="002A185E" w:rsidTr="00D8732F">
        <w:trPr>
          <w:trHeight w:val="1833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2. Schimbări preconizate</w:t>
            </w:r>
          </w:p>
          <w:p w:rsidR="003748EE" w:rsidRPr="002A185E" w:rsidRDefault="003748EE" w:rsidP="00D8732F">
            <w:pPr>
              <w:spacing w:line="276" w:lineRule="auto"/>
              <w:ind w:left="60" w:firstLine="648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tabs>
                <w:tab w:val="left" w:pos="720"/>
              </w:tabs>
              <w:spacing w:before="120" w:line="276" w:lineRule="auto"/>
              <w:ind w:firstLine="34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Printre principalele aspecte care se preconizează a fi reglementate și reformate prin proiectul de lege, în scopul eficientizării 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activității de înregistrare în registrul comerțului</w:t>
            </w: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, menționăm: </w:t>
            </w:r>
          </w:p>
          <w:p w:rsidR="003748EE" w:rsidRPr="004B2D85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● U</w:t>
            </w:r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nificarea prevederilor care reglementează activitatea de înregistrare în registrul comerțului a persoanelor fizice </w:t>
            </w:r>
            <w:proofErr w:type="spellStart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juridice supuse obligației de înregistrare în registrul </w:t>
            </w:r>
            <w:proofErr w:type="spellStart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comerţului</w:t>
            </w:r>
            <w:proofErr w:type="spellEnd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, a actelor, faptelor </w:t>
            </w:r>
            <w:proofErr w:type="spellStart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menţiunilor</w:t>
            </w:r>
            <w:proofErr w:type="spellEnd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care se înregistrează în registrul </w:t>
            </w:r>
            <w:proofErr w:type="spellStart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comerţului</w:t>
            </w:r>
            <w:proofErr w:type="spellEnd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;</w:t>
            </w:r>
          </w:p>
          <w:p w:rsidR="003748EE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lastRenderedPageBreak/>
              <w:t xml:space="preserve">● Stabilirea </w:t>
            </w:r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elementel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or</w:t>
            </w:r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cererii de înregistrare,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a </w:t>
            </w:r>
            <w:proofErr w:type="spellStart"/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sancţiunilor</w:t>
            </w:r>
            <w:proofErr w:type="spellEnd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pentru neîndeplinirea </w:t>
            </w:r>
            <w:proofErr w:type="spellStart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obligaţiei</w:t>
            </w:r>
            <w:proofErr w:type="spellEnd"/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de înregistrare,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a </w:t>
            </w:r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procedur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ii</w:t>
            </w:r>
            <w:r w:rsidRPr="004B2D85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de înreg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istrare în registrul </w:t>
            </w:r>
            <w:proofErr w:type="spellStart"/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comerţului</w:t>
            </w:r>
            <w:proofErr w:type="spellEnd"/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;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● Stabilirea unei noi modalități de efectuare a </w:t>
            </w:r>
            <w:proofErr w:type="spellStart"/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publicităţii</w:t>
            </w:r>
            <w:proofErr w:type="spellEnd"/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obligatorii, prin înființarea Buletinului electronic al registrului </w:t>
            </w:r>
            <w:proofErr w:type="spellStart"/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comerţului</w:t>
            </w:r>
            <w:proofErr w:type="spellEnd"/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;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● Reglementarea statutului registratorului de registru, crearea unui compartiment care să asigure coordonarea și îndrumarea metodologică a registratorilor, pentru a se asigura caracterul unitar al practicii </w:t>
            </w:r>
            <w:proofErr w:type="spellStart"/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şi</w:t>
            </w:r>
            <w:proofErr w:type="spellEnd"/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a unei structuri responsabile cu pregătirea profesională a registratorilor </w:t>
            </w:r>
            <w:proofErr w:type="spellStart"/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şi</w:t>
            </w:r>
            <w:proofErr w:type="spellEnd"/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a celorlalte categorii de personal din cadrul O.N.R.C.;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● Stabilirea regimului juridic al drepturilor și obligațiilor personalului ONRC;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● Simplificarea formalităților administrative, prin reducerea numărului de documente solicitate pentru înregistrarea în registrul comerțului;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● Asigurarea unei mai bune identificări și stabiliri a sediului social, precum și a identificării solicitantului;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● Transferul competenței de soluționare a acțiunilor de dizolvare judiciară de la instanțele judecătorești la ONRC, precum și a soluționării mențiunilor având ca obiect fuziunea și divizarea, ceea ce implică reducerea timpului necesar efectuării acestor operațiuni;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● Înființarea Registrului Beneficiarilor Reali.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● Obligarea societăților la încheierea anuală a asigurării de răspundere profesională pentru insolvență, dizolvare, lichidare și radiere judiciară;</w:t>
            </w:r>
          </w:p>
          <w:p w:rsidR="003748EE" w:rsidRPr="000B6858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●    Instituirea unor pârghii care să conducă la reducerea evaziunii fiscale, precum și la creșterea gradului de colectare a veniturilor bugetare, prin prezentarea certificatului de atestare fiscală privind datoriile la bugetul de stat sau local, în cazul mențiunilor având ca obiect transmiterea părților sociale la societățile cu răspundere limitată</w:t>
            </w:r>
            <w:r w:rsidR="00E27D84" w:rsidRPr="000B6858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bookmarkStart w:id="0" w:name="_GoBack"/>
            <w:bookmarkEnd w:id="0"/>
          </w:p>
          <w:p w:rsidR="003748EE" w:rsidRPr="00CC03ED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● Stabilirea, în sarcina </w:t>
            </w:r>
            <w:r w:rsidRPr="003751D3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Ministerului Finanțelor Publice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, a obligației</w:t>
            </w:r>
            <w:r w:rsidRPr="003751D3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de a solicita dizolvarea soci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etăților menționate la art. 153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  <w:lang w:val="ro-RO"/>
              </w:rPr>
              <w:t>24</w:t>
            </w:r>
            <w:r w:rsidRPr="003751D3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din Legea societăților nr. 31/1990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,</w:t>
            </w:r>
            <w:r w:rsidRPr="0028608A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în situația scăderii activului net la mai puțin de jumătate din valoarea capitalului social subscris;</w:t>
            </w:r>
          </w:p>
          <w:p w:rsidR="003748EE" w:rsidRPr="00CC03ED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●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Posibilitatea depunerii 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cerer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ii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de înregistrare, precum </w:t>
            </w:r>
            <w:proofErr w:type="spellStart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a 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documentel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or din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susţinerea</w:t>
            </w:r>
            <w:proofErr w:type="spellEnd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acesteia, la oricare dintre oficiile registrului </w:t>
            </w:r>
            <w:proofErr w:type="spellStart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comerţului</w:t>
            </w:r>
            <w:proofErr w:type="spellEnd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ori, după caz, la ONRC;</w:t>
            </w:r>
          </w:p>
          <w:p w:rsidR="003748EE" w:rsidRPr="00CC03ED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● Înregistrarea în registrul comerțului a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actelor și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a 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faptelor prevăzute de lege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în termen de 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48 ore de la înregistrarea cererii;</w:t>
            </w:r>
          </w:p>
          <w:p w:rsidR="003748EE" w:rsidRPr="00CC03ED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● I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ntroducerea, în declarațiile pe proprie răspundere date de fondatori, primii administratori </w:t>
            </w:r>
            <w:proofErr w:type="spellStart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, după caz, primii directori, respectiv 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lastRenderedPageBreak/>
              <w:t xml:space="preserve">primii membri ai directoratului </w:t>
            </w:r>
            <w:proofErr w:type="spellStart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ai consiliului de supraveghere </w:t>
            </w:r>
            <w:proofErr w:type="spellStart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, dacă este cazul, de împuterniciții sucursalelor a mențiunii că au absolvit </w:t>
            </w:r>
            <w:proofErr w:type="spellStart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învăţământul</w:t>
            </w:r>
            <w:proofErr w:type="spellEnd"/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general obligatoriu;</w:t>
            </w:r>
          </w:p>
          <w:p w:rsidR="003748EE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● O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bligativitatea înregistrării în registrul comerțului a sediului social/profesional/secundar, precum și a oricăror modificări ale acestora în baza extrasului de Carte Funciară;</w:t>
            </w:r>
          </w:p>
          <w:p w:rsidR="003748EE" w:rsidRPr="00CC03ED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● Î</w:t>
            </w:r>
            <w:r w:rsidRPr="0028608A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nregistrarea în Cartea Funciară a sediilor profesioniștilor conduce la realizarea opozabilității față de terți a existenței înscrierii/notării sediului social/profesional/secundar, în cazul transferului de proprietate;</w:t>
            </w:r>
          </w:p>
          <w:p w:rsidR="003748EE" w:rsidRPr="002A185E" w:rsidRDefault="003748EE" w:rsidP="00D8732F">
            <w:pPr>
              <w:spacing w:before="120" w:line="276" w:lineRule="auto"/>
              <w:ind w:left="459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highlight w:val="yellow"/>
                <w:lang w:val="ro-RO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● Introducerea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posibilit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>ății</w:t>
            </w:r>
            <w:r w:rsidRPr="00CC03ED">
              <w:rPr>
                <w:rFonts w:ascii="Trebuchet MS" w:hAnsi="Trebuchet MS" w:cs="Arial"/>
                <w:color w:val="000000"/>
                <w:sz w:val="22"/>
                <w:szCs w:val="22"/>
                <w:lang w:val="ro-RO"/>
              </w:rPr>
              <w:t xml:space="preserve"> depunerii, prin mijloace electronice, a cererilor de înregistrare și a înscrisurilor care o însoțesc, de către notari publici, de către avocați sau de către executori judecătorești;</w:t>
            </w: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3. Alte informații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14652C">
              <w:rPr>
                <w:rFonts w:ascii="Trebuchet MS" w:hAnsi="Trebuchet MS" w:cs="Arial"/>
                <w:sz w:val="22"/>
                <w:szCs w:val="22"/>
                <w:lang w:val="ro-RO"/>
              </w:rPr>
              <w:t>Pentru implementarea modificărilor preconizate, s-a prevăzut un termen de intrare în vigoare a legii de 9 luni de la publicarea legii în Monitorul Oficial al României, Partea I, termen motivat de necesitatea modificării sistemului informatic integrat al ONRC la nivel național, a instrucțiunilor și a procedurilor operaționale de lucru, a fluxului operațional, al formularisticii utilizate în activitatea ONRC, precum și a legislației subsecvente (ordin al ministrului justiției pentru aprobarea normelor metodologice de ținere a registrelor prevăzute de lege, de efectuare a înregistrărilor și de furnizare a informațiilor, hotărâre de Guvern pentru aprobarea modelelor de cerere de înregistrare, declarație privind autorizarea funcționării, certificat de înregistrare, pentru suplimentarea de personal ș.a.)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</w:p>
        </w:tc>
      </w:tr>
      <w:tr w:rsidR="003748EE" w:rsidRPr="002A185E" w:rsidTr="00D8732F"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highlight w:val="yellow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Secțiunea a 3-a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 xml:space="preserve">Impactul </w:t>
            </w:r>
            <w:proofErr w:type="spellStart"/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socio</w:t>
            </w:r>
            <w:proofErr w:type="spellEnd"/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-economic al proiectului de act normativ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i/>
                <w:snapToGrid w:val="0"/>
                <w:sz w:val="22"/>
                <w:szCs w:val="22"/>
                <w:highlight w:val="yellow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1. Impactul macroeconomic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Nu este cazul </w:t>
            </w: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Impactul asupra mediului afaceri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Nu este cazul </w:t>
            </w: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3. Impactul social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>Nu este cazul</w:t>
            </w: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4. Impactul asupra mediului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>Nu este cazul</w:t>
            </w: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5. Alte informații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cazul.</w:t>
            </w:r>
          </w:p>
        </w:tc>
      </w:tr>
      <w:tr w:rsidR="003748EE" w:rsidRPr="002A185E" w:rsidTr="00D8732F"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Secțiunea a 4-a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Impactul financiar asupra bugetului general consolidat, atât pe termen scurt, pentru anul curent, cât și pe termen lung (5 ani)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i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right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- mii lei -</w:t>
            </w: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>Anul curent</w:t>
            </w:r>
          </w:p>
        </w:tc>
        <w:tc>
          <w:tcPr>
            <w:tcW w:w="4090" w:type="dxa"/>
            <w:gridSpan w:val="4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>Următorii 4 ani</w:t>
            </w: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>Media pe 5 ani</w:t>
            </w: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1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1. Modificări ale veniturilor bugetare, plus/minus, din care: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a) buget de stat, din acesta: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impozit pe profit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(ii) impozit pe venit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b) bugete locale: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impozit pe profit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c) bugetul asigurărilor sociale de stat: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contribuții de asigurări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Modificări ale cheltuielilor bugetare, plus/minus, din care: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trHeight w:val="69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a) buget de stat, din acesta: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(ii) bunuri și servicii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b) bugete locale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(ii) bunuri și servicii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c) bugetul asigurărilor sociale de stat: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(ii) bunuri și servicii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3. Impact financiar, plus/minus, din care: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a) buget de stat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b) bugetele locale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4. Propuneri pentru acoperirea creșterii cheltuielilor bugetare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5. Propuneri pentru a compensa reducerea veniturilor bugetare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6. Calcule detaliate privind fundamentarea modificărilor veniturilor și/sau cheltuielilor bugetare</w:t>
            </w:r>
          </w:p>
        </w:tc>
        <w:tc>
          <w:tcPr>
            <w:tcW w:w="2410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830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155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7. Alte informații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Secțiunea a 5 –a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Efectele proiectului de act normativ asupra legislației în vigoare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lastRenderedPageBreak/>
              <w:t>1. Măsuri normative necesare pentru                                  aplicarea prevederilor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proiectului de act normativ:    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a) acte normative în vigoare ce vor fi modificate sau abrogate, ca                            urmare a intrării în vigoare a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proiectului de act normativ;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b) acte normative ce urmează a fi   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elaborate în vederea             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implementării noilor </w:t>
            </w:r>
            <w:proofErr w:type="spellStart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dispoziţii</w:t>
            </w:r>
            <w:proofErr w:type="spellEnd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. 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ind w:left="720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Abrogarea </w:t>
            </w:r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Leg</w:t>
            </w:r>
            <w: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ii</w:t>
            </w:r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nr. 26/1990 privind registrul comerțului, republicată, cu modificările și completările ulterioare, </w:t>
            </w:r>
            <w: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a </w:t>
            </w:r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Leg</w:t>
            </w:r>
            <w: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ii</w:t>
            </w:r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nr. 359/2004 privind simplificarea </w:t>
            </w:r>
            <w:proofErr w:type="spellStart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formalităţilor</w:t>
            </w:r>
            <w:proofErr w:type="spellEnd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la înregistrarea în registrul </w:t>
            </w:r>
            <w:proofErr w:type="spellStart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comerţului</w:t>
            </w:r>
            <w:proofErr w:type="spellEnd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a persoanelor fizice, </w:t>
            </w:r>
            <w:proofErr w:type="spellStart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asociaţiilor</w:t>
            </w:r>
            <w:proofErr w:type="spellEnd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familiale </w:t>
            </w:r>
            <w:proofErr w:type="spellStart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şi</w:t>
            </w:r>
            <w:proofErr w:type="spellEnd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persoanelor juridice, înregistrarea fiscală a acestora, precum </w:t>
            </w:r>
            <w:proofErr w:type="spellStart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şi</w:t>
            </w:r>
            <w:proofErr w:type="spellEnd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la autorizarea </w:t>
            </w:r>
            <w:proofErr w:type="spellStart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funcţionării</w:t>
            </w:r>
            <w:proofErr w:type="spellEnd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persoanelor juridice, cu modificările și completările ulterioare, </w:t>
            </w:r>
            <w: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a </w:t>
            </w:r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O.U.G. nr. 116/2009 pentru instituirea unor măsuri privind activitatea de înregistrare în registrul </w:t>
            </w:r>
            <w:proofErr w:type="spellStart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comerţului</w:t>
            </w:r>
            <w:proofErr w:type="spellEnd"/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, aprobată, cu modificări și completări, prin Legea nr. 84/2010, cu modificările și completările ulterioare, </w:t>
            </w:r>
            <w: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modificarea și completarea Legii </w:t>
            </w:r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societăților nr. 31/1990, cu modifică</w:t>
            </w:r>
            <w: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rile și completările ulterioare</w:t>
            </w:r>
            <w:r w:rsidRPr="004B2D85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.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c>
          <w:tcPr>
            <w:tcW w:w="2836" w:type="dxa"/>
          </w:tcPr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1</w:t>
            </w:r>
            <w:r w:rsidRPr="002A185E">
              <w:rPr>
                <w:rFonts w:ascii="Trebuchet MS" w:hAnsi="Trebuchet MS" w:cs="Courier New"/>
                <w:iCs/>
                <w:sz w:val="22"/>
                <w:szCs w:val="22"/>
                <w:vertAlign w:val="superscript"/>
                <w:lang w:val="ro-RO" w:eastAsia="ro-RO"/>
              </w:rPr>
              <w:t>1</w:t>
            </w: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.Compatibilitatea proiectului de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act normativ cu </w:t>
            </w:r>
            <w:proofErr w:type="spellStart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legislaţia</w:t>
            </w:r>
            <w:proofErr w:type="spellEnd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în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domeniul </w:t>
            </w:r>
            <w:proofErr w:type="spellStart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achiziţiilor</w:t>
            </w:r>
            <w:proofErr w:type="spellEnd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publice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</w:t>
            </w:r>
          </w:p>
        </w:tc>
      </w:tr>
      <w:tr w:rsidR="003748EE" w:rsidRPr="002A185E" w:rsidTr="00D8732F">
        <w:trPr>
          <w:trHeight w:val="330"/>
        </w:trPr>
        <w:tc>
          <w:tcPr>
            <w:tcW w:w="2836" w:type="dxa"/>
          </w:tcPr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2. </w:t>
            </w: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Conformitatea proiectului de act 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normativ cu </w:t>
            </w:r>
            <w:proofErr w:type="spellStart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legislaţia</w:t>
            </w:r>
            <w:proofErr w:type="spellEnd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comunitară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în cazul proiectelor ce transpun 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prevederi comunitare             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</w:t>
            </w:r>
          </w:p>
        </w:tc>
      </w:tr>
      <w:tr w:rsidR="003748EE" w:rsidRPr="002A185E" w:rsidTr="00D8732F">
        <w:trPr>
          <w:trHeight w:val="328"/>
        </w:trPr>
        <w:tc>
          <w:tcPr>
            <w:tcW w:w="2836" w:type="dxa"/>
          </w:tcPr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3. </w:t>
            </w: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Măsuri normative necesare        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   aplicării directe a actelor      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normative comunitare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</w:t>
            </w:r>
          </w:p>
        </w:tc>
      </w:tr>
      <w:tr w:rsidR="003748EE" w:rsidRPr="002A185E" w:rsidTr="00D8732F">
        <w:trPr>
          <w:trHeight w:val="328"/>
        </w:trPr>
        <w:tc>
          <w:tcPr>
            <w:tcW w:w="2836" w:type="dxa"/>
          </w:tcPr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4. </w:t>
            </w: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Hotărâri ale </w:t>
            </w:r>
            <w:proofErr w:type="spellStart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Curţii</w:t>
            </w:r>
            <w:proofErr w:type="spellEnd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de </w:t>
            </w:r>
            <w:proofErr w:type="spellStart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>Justiţie</w:t>
            </w:r>
            <w:proofErr w:type="spellEnd"/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 a</w:t>
            </w:r>
          </w:p>
          <w:p w:rsidR="003748EE" w:rsidRPr="002A185E" w:rsidRDefault="003748EE" w:rsidP="00D8732F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Courier New"/>
                <w:iCs/>
                <w:sz w:val="22"/>
                <w:szCs w:val="22"/>
                <w:lang w:val="ro-RO" w:eastAsia="ro-RO"/>
              </w:rPr>
              <w:t xml:space="preserve">Uniunii Europene                 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</w:t>
            </w:r>
          </w:p>
        </w:tc>
      </w:tr>
      <w:tr w:rsidR="003748EE" w:rsidRPr="002A185E" w:rsidTr="00D8732F">
        <w:trPr>
          <w:trHeight w:val="328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5. </w:t>
            </w:r>
            <w:r w:rsidRPr="002A185E"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  <w:t xml:space="preserve">Alte acte normative </w:t>
            </w:r>
            <w:proofErr w:type="spellStart"/>
            <w:r w:rsidRPr="002A185E"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  <w:t>şi</w:t>
            </w:r>
            <w:proofErr w:type="spellEnd"/>
            <w:r w:rsidRPr="002A185E"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  <w:t xml:space="preserve">/sau       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  <w:lastRenderedPageBreak/>
              <w:t xml:space="preserve"> documente </w:t>
            </w:r>
            <w:proofErr w:type="spellStart"/>
            <w:r w:rsidRPr="002A185E"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  <w:t>internaţionale</w:t>
            </w:r>
            <w:proofErr w:type="spellEnd"/>
            <w:r w:rsidRPr="002A185E"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  <w:t xml:space="preserve"> din     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iCs/>
                <w:snapToGrid w:val="0"/>
                <w:sz w:val="22"/>
                <w:szCs w:val="22"/>
                <w:lang w:val="ro-RO"/>
              </w:rPr>
              <w:t xml:space="preserve"> care decurg angajamente  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Nu este cazul.</w:t>
            </w:r>
          </w:p>
        </w:tc>
      </w:tr>
      <w:tr w:rsidR="003748EE" w:rsidRPr="002A185E" w:rsidTr="00D8732F">
        <w:trPr>
          <w:trHeight w:val="328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6. Alte informații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cazul.</w:t>
            </w:r>
          </w:p>
        </w:tc>
      </w:tr>
      <w:tr w:rsidR="003748EE" w:rsidRPr="002A185E" w:rsidTr="00D8732F">
        <w:trPr>
          <w:trHeight w:val="328"/>
        </w:trPr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Secțiunea a 6-a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Consultările efectuate în vederea elaborării proiectului de act normativ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trHeight w:val="340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>1. Informații privind procesul de consultare cu organizații neguvernamentale, institute de  cercetare și alte organisme implicate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La elaborarea prezentului proiect de act normativ, un rol important l-au avut consultările cu </w:t>
            </w:r>
            <w: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Oficiul Național al Registrului Comerțului</w:t>
            </w: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.</w:t>
            </w:r>
          </w:p>
        </w:tc>
      </w:tr>
      <w:tr w:rsidR="003748EE" w:rsidRPr="002A185E" w:rsidTr="00D8732F">
        <w:trPr>
          <w:trHeight w:val="338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Fundamentarea alegerii organizațiilor cu care a avut loc consultarea, precum și a modului în care activitatea acestor organizații este legată de obiectul proiectului de act normativ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Nu este cazul </w:t>
            </w:r>
          </w:p>
        </w:tc>
      </w:tr>
      <w:tr w:rsidR="003748EE" w:rsidRPr="002A185E" w:rsidTr="00D8732F">
        <w:trPr>
          <w:trHeight w:val="338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3. Consultările organizate cu autoritățile administrației publice locale, în situația în care proiectul de act normativ are ca obiect activități ale acestor autorități, în condițiile Hotărârii Guvernului nr. 521/2005 privind procedura de consultare a structurilor asociative ale autorităților administrației publice locale la elaborarea proiectelor de acte normative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cazul.</w:t>
            </w:r>
          </w:p>
        </w:tc>
      </w:tr>
      <w:tr w:rsidR="003748EE" w:rsidRPr="002A185E" w:rsidTr="00D8732F">
        <w:trPr>
          <w:trHeight w:val="338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4. Consultările desfășurate în cadrul consiliilor interministeriale, în conformitate cu prevederile Hotărârii Guvernului nr. 750/2005 </w:t>
            </w: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privind constituirea consiliilor interministeriale permanente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Nu este cazul.</w:t>
            </w:r>
          </w:p>
        </w:tc>
      </w:tr>
      <w:tr w:rsidR="003748EE" w:rsidRPr="002A185E" w:rsidTr="00D8732F">
        <w:trPr>
          <w:trHeight w:val="338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5. Informații privind avizarea de către: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a) Consiliul Legislativ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b) Consiliul Suprem de Apărare a Țării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c) Consiliul Economic și Social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d) Consiliul Concurenței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e) Curtea de Conturi.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>Proiectul de lege necesită avizul Consiliului Legislativ.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trHeight w:val="338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6. Alte informații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cazul.</w:t>
            </w:r>
          </w:p>
        </w:tc>
      </w:tr>
      <w:tr w:rsidR="003748EE" w:rsidRPr="002A185E" w:rsidTr="00D8732F">
        <w:trPr>
          <w:trHeight w:val="328"/>
        </w:trPr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Secțiunea a 7-a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Activități de informare publică privind elaborarea și implementarea proiectului de act normativ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trHeight w:val="338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1. Informarea societății civile cu privire la necesitatea elaborării actului normativ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z w:val="22"/>
                <w:szCs w:val="22"/>
                <w:lang w:val="ro-RO"/>
              </w:rPr>
              <w:t>Proiectul urmează a fi publicat pe pagina de internet a Ministerului Justiției, în conformitate cu prevederile Legii nr. 52/2003 privind transparența decizională în administrația publică, republicată.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trHeight w:val="336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Informarea societății civile cu privire la eventualul impact asupra mediului în urma implementării proiectului de act normativ, precum și efectele asupra sănătății și securității cetățenilor sau diversității biologice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cazul.</w:t>
            </w:r>
          </w:p>
        </w:tc>
      </w:tr>
      <w:tr w:rsidR="003748EE" w:rsidRPr="002A185E" w:rsidTr="00D8732F">
        <w:trPr>
          <w:trHeight w:val="336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3. Alte informații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Nu este cazul </w:t>
            </w:r>
          </w:p>
        </w:tc>
      </w:tr>
      <w:tr w:rsidR="003748EE" w:rsidRPr="002A185E" w:rsidTr="00D8732F">
        <w:trPr>
          <w:trHeight w:val="336"/>
        </w:trPr>
        <w:tc>
          <w:tcPr>
            <w:tcW w:w="10491" w:type="dxa"/>
            <w:gridSpan w:val="7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Secțiunea a 8-a</w:t>
            </w:r>
          </w:p>
          <w:p w:rsidR="003748EE" w:rsidRPr="002A185E" w:rsidRDefault="003748EE" w:rsidP="00D8732F">
            <w:pPr>
              <w:spacing w:line="276" w:lineRule="auto"/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Măsuri de implementare</w:t>
            </w:r>
          </w:p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trHeight w:val="336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1. Măsurile de punere în aplicare a proiectului de act normativ de către autoritățile administrației publice centrale și/sau locale – înființarea unor noi organisme sau extinderea competențelor instituțiilor existente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3748EE" w:rsidRPr="002A185E" w:rsidTr="00D8732F">
        <w:trPr>
          <w:trHeight w:val="336"/>
        </w:trPr>
        <w:tc>
          <w:tcPr>
            <w:tcW w:w="2836" w:type="dxa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2. Alte informații</w:t>
            </w:r>
          </w:p>
        </w:tc>
        <w:tc>
          <w:tcPr>
            <w:tcW w:w="7655" w:type="dxa"/>
            <w:gridSpan w:val="6"/>
          </w:tcPr>
          <w:p w:rsidR="003748EE" w:rsidRPr="002A185E" w:rsidRDefault="003748EE" w:rsidP="00D8732F">
            <w:pPr>
              <w:spacing w:line="276" w:lineRule="auto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2A185E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cazul.</w:t>
            </w:r>
          </w:p>
        </w:tc>
      </w:tr>
    </w:tbl>
    <w:p w:rsidR="003748EE" w:rsidRPr="002A185E" w:rsidRDefault="003748EE" w:rsidP="003748EE">
      <w:pPr>
        <w:spacing w:line="276" w:lineRule="auto"/>
        <w:jc w:val="both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3748EE" w:rsidRPr="002A185E" w:rsidRDefault="003748EE" w:rsidP="003748EE">
      <w:pPr>
        <w:spacing w:line="276" w:lineRule="auto"/>
        <w:jc w:val="both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3748EE" w:rsidRPr="002A185E" w:rsidRDefault="003748EE" w:rsidP="003748EE">
      <w:pPr>
        <w:tabs>
          <w:tab w:val="left" w:pos="720"/>
        </w:tabs>
        <w:spacing w:line="276" w:lineRule="auto"/>
        <w:ind w:left="-284" w:firstLine="284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:rsidR="003748EE" w:rsidRPr="002A185E" w:rsidRDefault="003748EE" w:rsidP="003748EE">
      <w:pPr>
        <w:tabs>
          <w:tab w:val="left" w:pos="720"/>
        </w:tabs>
        <w:spacing w:line="276" w:lineRule="auto"/>
        <w:ind w:left="-284" w:firstLine="284"/>
        <w:jc w:val="both"/>
        <w:rPr>
          <w:rFonts w:ascii="Trebuchet MS" w:hAnsi="Trebuchet MS" w:cs="Arial"/>
          <w:b/>
          <w:sz w:val="22"/>
          <w:szCs w:val="22"/>
          <w:lang w:val="ro-RO"/>
        </w:rPr>
      </w:pPr>
    </w:p>
    <w:p w:rsidR="003748EE" w:rsidRPr="002A185E" w:rsidRDefault="003748EE" w:rsidP="003748EE">
      <w:pPr>
        <w:tabs>
          <w:tab w:val="left" w:pos="720"/>
        </w:tabs>
        <w:spacing w:line="276" w:lineRule="auto"/>
        <w:ind w:left="-284" w:firstLine="284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2A185E">
        <w:rPr>
          <w:rFonts w:ascii="Trebuchet MS" w:hAnsi="Trebuchet MS" w:cs="Arial"/>
          <w:sz w:val="22"/>
          <w:szCs w:val="22"/>
          <w:lang w:val="ro-RO"/>
        </w:rPr>
        <w:t>Având in vedere cele menționate mai sus, a fost întocmit prezentul proiect de Lege</w:t>
      </w:r>
      <w:r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Pr="00116C34">
        <w:rPr>
          <w:rFonts w:ascii="Trebuchet MS" w:hAnsi="Trebuchet MS" w:cs="Arial"/>
          <w:sz w:val="22"/>
          <w:szCs w:val="22"/>
          <w:lang w:val="ro-RO"/>
        </w:rPr>
        <w:t>privind registratorii de registrul comerțului</w:t>
      </w:r>
      <w:r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Pr="00116C34">
        <w:rPr>
          <w:rFonts w:ascii="Trebuchet MS" w:hAnsi="Trebuchet MS" w:cs="Arial"/>
          <w:sz w:val="22"/>
          <w:szCs w:val="22"/>
          <w:lang w:val="ro-RO"/>
        </w:rPr>
        <w:t>și activitatea de înregistrare în registrul comerțului și pentru modificarea unor acte normative cu incidență asupra activității de înregistrare</w:t>
      </w:r>
      <w:r w:rsidRPr="002A185E">
        <w:rPr>
          <w:rFonts w:ascii="Trebuchet MS" w:hAnsi="Trebuchet MS" w:cs="Arial"/>
          <w:sz w:val="22"/>
          <w:szCs w:val="22"/>
          <w:lang w:val="ro-RO"/>
        </w:rPr>
        <w:t>, pe care îl supunem spre aprobare.</w:t>
      </w:r>
    </w:p>
    <w:p w:rsidR="003748EE" w:rsidRPr="002A185E" w:rsidRDefault="003748EE" w:rsidP="003748EE">
      <w:pPr>
        <w:spacing w:line="276" w:lineRule="auto"/>
        <w:jc w:val="center"/>
        <w:rPr>
          <w:rFonts w:ascii="Trebuchet MS" w:hAnsi="Trebuchet MS" w:cs="Arial"/>
          <w:sz w:val="22"/>
          <w:szCs w:val="22"/>
          <w:u w:val="single"/>
          <w:lang w:val="ro-RO"/>
        </w:rPr>
      </w:pPr>
    </w:p>
    <w:p w:rsidR="003748EE" w:rsidRPr="002A185E" w:rsidRDefault="003748EE" w:rsidP="003748EE">
      <w:pPr>
        <w:spacing w:line="276" w:lineRule="auto"/>
        <w:jc w:val="center"/>
        <w:rPr>
          <w:rFonts w:ascii="Trebuchet MS" w:hAnsi="Trebuchet MS" w:cs="Arial"/>
          <w:sz w:val="22"/>
          <w:szCs w:val="22"/>
          <w:u w:val="single"/>
          <w:lang w:val="ro-RO"/>
        </w:rPr>
      </w:pPr>
    </w:p>
    <w:p w:rsidR="003748EE" w:rsidRPr="002A185E" w:rsidRDefault="003748EE" w:rsidP="003748EE">
      <w:pPr>
        <w:jc w:val="center"/>
        <w:rPr>
          <w:rFonts w:ascii="Trebuchet MS" w:hAnsi="Trebuchet MS"/>
          <w:sz w:val="22"/>
          <w:szCs w:val="22"/>
        </w:rPr>
      </w:pPr>
      <w:proofErr w:type="spellStart"/>
      <w:r w:rsidRPr="002A185E">
        <w:rPr>
          <w:rFonts w:ascii="Trebuchet MS" w:hAnsi="Trebuchet MS"/>
          <w:sz w:val="22"/>
          <w:szCs w:val="22"/>
        </w:rPr>
        <w:t>Ministrul</w:t>
      </w:r>
      <w:proofErr w:type="spellEnd"/>
      <w:r w:rsidRPr="002A185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A185E">
        <w:rPr>
          <w:rFonts w:ascii="Trebuchet MS" w:hAnsi="Trebuchet MS"/>
          <w:sz w:val="22"/>
          <w:szCs w:val="22"/>
        </w:rPr>
        <w:t>Justiției</w:t>
      </w:r>
      <w:proofErr w:type="spellEnd"/>
    </w:p>
    <w:p w:rsidR="003748EE" w:rsidRPr="002A185E" w:rsidRDefault="003748EE" w:rsidP="003748EE">
      <w:pPr>
        <w:jc w:val="center"/>
        <w:rPr>
          <w:rFonts w:ascii="Trebuchet MS" w:hAnsi="Trebuchet MS"/>
          <w:sz w:val="22"/>
          <w:szCs w:val="22"/>
        </w:rPr>
      </w:pPr>
    </w:p>
    <w:p w:rsidR="003748EE" w:rsidRPr="002A185E" w:rsidRDefault="003748EE" w:rsidP="003748EE">
      <w:pPr>
        <w:jc w:val="center"/>
        <w:rPr>
          <w:rFonts w:ascii="Trebuchet MS" w:hAnsi="Trebuchet MS"/>
          <w:sz w:val="22"/>
          <w:szCs w:val="22"/>
        </w:rPr>
      </w:pPr>
    </w:p>
    <w:p w:rsidR="003748EE" w:rsidRPr="002A185E" w:rsidRDefault="003748EE" w:rsidP="003748EE">
      <w:pPr>
        <w:jc w:val="center"/>
        <w:rPr>
          <w:rFonts w:ascii="Trebuchet MS" w:hAnsi="Trebuchet MS"/>
          <w:sz w:val="22"/>
          <w:szCs w:val="22"/>
        </w:rPr>
      </w:pPr>
      <w:proofErr w:type="spellStart"/>
      <w:r w:rsidRPr="002A185E">
        <w:rPr>
          <w:rFonts w:ascii="Trebuchet MS" w:hAnsi="Trebuchet MS"/>
          <w:sz w:val="22"/>
          <w:szCs w:val="22"/>
        </w:rPr>
        <w:t>Tudorel</w:t>
      </w:r>
      <w:proofErr w:type="spellEnd"/>
      <w:r w:rsidRPr="002A185E">
        <w:rPr>
          <w:rFonts w:ascii="Trebuchet MS" w:hAnsi="Trebuchet MS"/>
          <w:sz w:val="22"/>
          <w:szCs w:val="22"/>
        </w:rPr>
        <w:t xml:space="preserve"> TOADER</w:t>
      </w:r>
    </w:p>
    <w:p w:rsidR="003748EE" w:rsidRPr="002A185E" w:rsidRDefault="003748EE" w:rsidP="003748EE">
      <w:pPr>
        <w:jc w:val="center"/>
        <w:rPr>
          <w:rFonts w:ascii="Trebuchet MS" w:hAnsi="Trebuchet MS"/>
          <w:sz w:val="22"/>
          <w:szCs w:val="22"/>
        </w:rPr>
      </w:pPr>
    </w:p>
    <w:p w:rsidR="003748EE" w:rsidRPr="002A185E" w:rsidRDefault="003748EE" w:rsidP="003748EE">
      <w:pPr>
        <w:jc w:val="center"/>
        <w:rPr>
          <w:rFonts w:ascii="Trebuchet MS" w:hAnsi="Trebuchet MS"/>
          <w:sz w:val="22"/>
          <w:szCs w:val="22"/>
        </w:rPr>
      </w:pPr>
    </w:p>
    <w:p w:rsidR="003748EE" w:rsidRPr="00BA73C9" w:rsidRDefault="003748EE" w:rsidP="003748EE">
      <w:pPr>
        <w:spacing w:line="276" w:lineRule="auto"/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3748EE" w:rsidRDefault="003748EE" w:rsidP="003748EE"/>
    <w:p w:rsidR="003748EE" w:rsidRDefault="003748EE" w:rsidP="003748EE"/>
    <w:p w:rsidR="0024304F" w:rsidRDefault="0024304F"/>
    <w:sectPr w:rsidR="0024304F" w:rsidSect="0022384A">
      <w:footerReference w:type="even" r:id="rId6"/>
      <w:footerReference w:type="default" r:id="rId7"/>
      <w:pgSz w:w="12240" w:h="15840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A6" w:rsidRDefault="009F54A6">
      <w:r>
        <w:separator/>
      </w:r>
    </w:p>
  </w:endnote>
  <w:endnote w:type="continuationSeparator" w:id="0">
    <w:p w:rsidR="009F54A6" w:rsidRDefault="009F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4A" w:rsidRDefault="003748EE" w:rsidP="0022384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2384A" w:rsidRDefault="009F54A6" w:rsidP="0022384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4A" w:rsidRDefault="003748EE" w:rsidP="0022384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B6858">
      <w:rPr>
        <w:rStyle w:val="Numrdepagin"/>
        <w:noProof/>
      </w:rPr>
      <w:t>9</w:t>
    </w:r>
    <w:r>
      <w:rPr>
        <w:rStyle w:val="Numrdepagin"/>
      </w:rPr>
      <w:fldChar w:fldCharType="end"/>
    </w:r>
  </w:p>
  <w:p w:rsidR="0022384A" w:rsidRDefault="009F54A6" w:rsidP="0022384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A6" w:rsidRDefault="009F54A6">
      <w:r>
        <w:separator/>
      </w:r>
    </w:p>
  </w:footnote>
  <w:footnote w:type="continuationSeparator" w:id="0">
    <w:p w:rsidR="009F54A6" w:rsidRDefault="009F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EE"/>
    <w:rsid w:val="00053878"/>
    <w:rsid w:val="000B6858"/>
    <w:rsid w:val="00230B47"/>
    <w:rsid w:val="0024304F"/>
    <w:rsid w:val="003748EE"/>
    <w:rsid w:val="009F54A6"/>
    <w:rsid w:val="00E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4347"/>
  <w15:chartTrackingRefBased/>
  <w15:docId w15:val="{C94F73EE-F89C-4B32-AB12-F43CC66C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748E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3748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37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2201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Brănescu</dc:creator>
  <cp:keywords/>
  <dc:description/>
  <cp:lastModifiedBy>Cerasela Brănescu</cp:lastModifiedBy>
  <cp:revision>4</cp:revision>
  <dcterms:created xsi:type="dcterms:W3CDTF">2019-02-07T11:14:00Z</dcterms:created>
  <dcterms:modified xsi:type="dcterms:W3CDTF">2019-02-14T13:27:00Z</dcterms:modified>
</cp:coreProperties>
</file>