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1ADC" w:rsidRPr="00CF27C9" w:rsidRDefault="00A63A27">
      <w:pPr>
        <w:spacing w:line="36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pacing w:val="20"/>
          <w:sz w:val="24"/>
          <w:szCs w:val="24"/>
          <w:u w:val="single"/>
        </w:rPr>
        <w:t>NOTĂ DE FUNDAMENTARE</w:t>
      </w:r>
    </w:p>
    <w:tbl>
      <w:tblPr>
        <w:tblW w:w="10815" w:type="dxa"/>
        <w:tblInd w:w="-391" w:type="dxa"/>
        <w:tblBorders>
          <w:top w:val="single" w:sz="4" w:space="0" w:color="000001"/>
          <w:left w:val="single" w:sz="4" w:space="0" w:color="000001"/>
          <w:right w:val="single" w:sz="4" w:space="0" w:color="000001"/>
          <w:insideV w:val="single" w:sz="4" w:space="0" w:color="000001"/>
        </w:tblBorders>
        <w:tblCellMar>
          <w:left w:w="88" w:type="dxa"/>
        </w:tblCellMar>
        <w:tblLook w:val="0000" w:firstRow="0" w:lastRow="0" w:firstColumn="0" w:lastColumn="0" w:noHBand="0" w:noVBand="0"/>
      </w:tblPr>
      <w:tblGrid>
        <w:gridCol w:w="2821"/>
        <w:gridCol w:w="190"/>
        <w:gridCol w:w="1462"/>
        <w:gridCol w:w="896"/>
        <w:gridCol w:w="591"/>
        <w:gridCol w:w="77"/>
        <w:gridCol w:w="46"/>
        <w:gridCol w:w="241"/>
        <w:gridCol w:w="1104"/>
        <w:gridCol w:w="934"/>
        <w:gridCol w:w="2453"/>
      </w:tblGrid>
      <w:tr w:rsidR="00CF27C9" w:rsidRPr="00CF27C9" w:rsidTr="00C140E8">
        <w:trPr>
          <w:trHeight w:val="1075"/>
        </w:trPr>
        <w:tc>
          <w:tcPr>
            <w:tcW w:w="10815" w:type="dxa"/>
            <w:gridSpan w:val="11"/>
            <w:tcBorders>
              <w:top w:val="single" w:sz="4" w:space="0" w:color="000001"/>
              <w:left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Secțiunea 1</w:t>
            </w:r>
          </w:p>
          <w:p w:rsidR="00401ADC" w:rsidRPr="00CF27C9" w:rsidRDefault="00A63A27">
            <w:pPr>
              <w:spacing w:after="0" w:line="240" w:lineRule="auto"/>
              <w:jc w:val="center"/>
              <w:rPr>
                <w:rFonts w:ascii="Times New Roman" w:hAnsi="Times New Roman" w:cs="Times New Roman"/>
                <w:b/>
                <w:color w:val="000000" w:themeColor="text1"/>
                <w:sz w:val="24"/>
                <w:szCs w:val="24"/>
              </w:rPr>
            </w:pPr>
            <w:r w:rsidRPr="00CF27C9">
              <w:rPr>
                <w:rFonts w:ascii="Times New Roman" w:hAnsi="Times New Roman" w:cs="Times New Roman"/>
                <w:b/>
                <w:bCs/>
                <w:color w:val="000000" w:themeColor="text1"/>
                <w:sz w:val="24"/>
                <w:szCs w:val="24"/>
              </w:rPr>
              <w:t>Titlul proiectului de act normativ</w:t>
            </w:r>
          </w:p>
          <w:p w:rsidR="00C054D6" w:rsidRPr="00CF27C9" w:rsidRDefault="00C054D6" w:rsidP="00C054D6">
            <w:pPr>
              <w:spacing w:after="0" w:line="240" w:lineRule="auto"/>
              <w:jc w:val="center"/>
              <w:rPr>
                <w:rFonts w:ascii="Times New Roman" w:hAnsi="Times New Roman" w:cs="Times New Roman"/>
                <w:b/>
                <w:color w:val="000000" w:themeColor="text1"/>
                <w:sz w:val="24"/>
                <w:szCs w:val="24"/>
              </w:rPr>
            </w:pPr>
            <w:r w:rsidRPr="00CF27C9">
              <w:rPr>
                <w:rFonts w:ascii="Times New Roman" w:hAnsi="Times New Roman" w:cs="Times New Roman"/>
                <w:b/>
                <w:color w:val="000000" w:themeColor="text1"/>
                <w:sz w:val="24"/>
                <w:szCs w:val="24"/>
              </w:rPr>
              <w:t>Ordonanță de urgență</w:t>
            </w:r>
          </w:p>
          <w:p w:rsidR="00401ADC" w:rsidRPr="00CF27C9" w:rsidRDefault="00C054D6" w:rsidP="00C054D6">
            <w:pPr>
              <w:jc w:val="center"/>
              <w:rPr>
                <w:color w:val="000000" w:themeColor="text1"/>
              </w:rPr>
            </w:pPr>
            <w:bookmarkStart w:id="0" w:name="do_7Cpa1"/>
            <w:r w:rsidRPr="00CF27C9">
              <w:rPr>
                <w:rFonts w:ascii="Times New Roman" w:hAnsi="Times New Roman" w:cs="Times New Roman"/>
                <w:b/>
                <w:bCs/>
                <w:color w:val="000000" w:themeColor="text1"/>
                <w:sz w:val="24"/>
                <w:szCs w:val="24"/>
              </w:rPr>
              <w:t xml:space="preserve">pentru modificarea </w:t>
            </w:r>
            <w:bookmarkEnd w:id="0"/>
            <w:r w:rsidRPr="00CF27C9">
              <w:rPr>
                <w:rFonts w:ascii="Times New Roman" w:hAnsi="Times New Roman" w:cs="Times New Roman"/>
                <w:b/>
                <w:bCs/>
                <w:color w:val="000000" w:themeColor="text1"/>
                <w:sz w:val="24"/>
                <w:szCs w:val="24"/>
              </w:rPr>
              <w:t xml:space="preserve">și completarea </w:t>
            </w:r>
            <w:bookmarkStart w:id="1" w:name="__DdeLink__5405_1672257499"/>
            <w:bookmarkEnd w:id="1"/>
            <w:r w:rsidR="007B67E3" w:rsidRPr="00CF27C9">
              <w:rPr>
                <w:rFonts w:ascii="Times New Roman" w:hAnsi="Times New Roman" w:cs="Times New Roman"/>
                <w:b/>
                <w:bCs/>
                <w:color w:val="000000" w:themeColor="text1"/>
                <w:sz w:val="24"/>
                <w:szCs w:val="24"/>
              </w:rPr>
              <w:t>unor acte normative</w:t>
            </w:r>
            <w:r w:rsidR="00CB0EAE" w:rsidRPr="00CF27C9">
              <w:rPr>
                <w:rFonts w:ascii="Times New Roman" w:hAnsi="Times New Roman" w:cs="Times New Roman"/>
                <w:b/>
                <w:bCs/>
                <w:color w:val="000000" w:themeColor="text1"/>
                <w:sz w:val="24"/>
                <w:szCs w:val="24"/>
              </w:rPr>
              <w:t xml:space="preserve"> și prorogarea unui termen</w:t>
            </w:r>
          </w:p>
        </w:tc>
      </w:tr>
      <w:tr w:rsidR="00CF27C9" w:rsidRPr="00CF27C9" w:rsidTr="00C140E8">
        <w:trPr>
          <w:trHeight w:val="536"/>
        </w:trPr>
        <w:tc>
          <w:tcPr>
            <w:tcW w:w="10815" w:type="dxa"/>
            <w:gridSpan w:val="11"/>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bCs/>
                <w:color w:val="000000" w:themeColor="text1"/>
                <w:sz w:val="24"/>
                <w:szCs w:val="24"/>
              </w:rPr>
            </w:pPr>
          </w:p>
          <w:p w:rsidR="00401ADC" w:rsidRPr="00CF27C9" w:rsidRDefault="00A63A27">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Secțiunea a 2-a</w:t>
            </w:r>
          </w:p>
          <w:p w:rsidR="00401ADC" w:rsidRPr="00CF27C9" w:rsidRDefault="00A63A27">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Motivul emiterii actului normativ</w:t>
            </w:r>
          </w:p>
          <w:p w:rsidR="00401ADC" w:rsidRPr="00CF27C9" w:rsidRDefault="00401ADC">
            <w:pPr>
              <w:spacing w:after="0" w:line="240" w:lineRule="auto"/>
              <w:ind w:left="864" w:right="144"/>
              <w:jc w:val="center"/>
              <w:rPr>
                <w:rFonts w:ascii="Times New Roman" w:hAnsi="Times New Roman" w:cs="Times New Roman"/>
                <w:b/>
                <w:bCs/>
                <w:color w:val="000000" w:themeColor="text1"/>
                <w:sz w:val="24"/>
                <w:szCs w:val="24"/>
              </w:rPr>
            </w:pPr>
          </w:p>
          <w:p w:rsidR="00401ADC" w:rsidRPr="00CF27C9" w:rsidRDefault="00A63A27">
            <w:pPr>
              <w:keepLines/>
              <w:widowControl w:val="0"/>
              <w:suppressAutoHyphens w:val="0"/>
              <w:spacing w:after="0" w:line="240" w:lineRule="auto"/>
              <w:ind w:right="144"/>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Promovarea acestui act normativ este determinată, în principal, de necesitatea:</w:t>
            </w:r>
          </w:p>
          <w:p w:rsidR="00401ADC" w:rsidRPr="00CF27C9" w:rsidRDefault="00A63A27" w:rsidP="00D542FB">
            <w:pPr>
              <w:keepLines/>
              <w:widowControl w:val="0"/>
              <w:numPr>
                <w:ilvl w:val="0"/>
                <w:numId w:val="2"/>
              </w:numPr>
              <w:shd w:val="clear" w:color="auto" w:fill="FFFFFF" w:themeFill="background1"/>
              <w:tabs>
                <w:tab w:val="left" w:pos="918"/>
              </w:tabs>
              <w:suppressAutoHyphens w:val="0"/>
              <w:spacing w:after="0" w:line="240" w:lineRule="auto"/>
              <w:ind w:right="144"/>
              <w:jc w:val="both"/>
              <w:rPr>
                <w:color w:val="000000" w:themeColor="text1"/>
              </w:rPr>
            </w:pPr>
            <w:r w:rsidRPr="00CF27C9">
              <w:rPr>
                <w:rFonts w:ascii="Times New Roman" w:hAnsi="Times New Roman" w:cs="Times New Roman"/>
                <w:color w:val="000000" w:themeColor="text1"/>
                <w:sz w:val="24"/>
                <w:szCs w:val="24"/>
              </w:rPr>
              <w:t xml:space="preserve">stimulării investițiilor și antreprenoriatului, instituindu-se </w:t>
            </w:r>
            <w:r w:rsidRPr="00CF27C9">
              <w:rPr>
                <w:rFonts w:ascii="Times New Roman" w:hAnsi="Times New Roman" w:cs="Times New Roman"/>
                <w:color w:val="000000" w:themeColor="text1"/>
                <w:sz w:val="24"/>
                <w:szCs w:val="24"/>
                <w:lang w:eastAsia="ro-RO"/>
              </w:rPr>
              <w:t xml:space="preserve">posibilitatea pentru microîntreprinderi de a opta </w:t>
            </w:r>
            <w:r w:rsidRPr="00CF27C9">
              <w:rPr>
                <w:rFonts w:ascii="Times New Roman" w:hAnsi="Times New Roman" w:cs="Times New Roman"/>
                <w:color w:val="000000" w:themeColor="text1"/>
                <w:sz w:val="24"/>
                <w:szCs w:val="24"/>
              </w:rPr>
              <w:t xml:space="preserve">să aplice prevederile titlului II </w:t>
            </w:r>
            <w:r w:rsidR="004A4F35" w:rsidRPr="00CF27C9">
              <w:rPr>
                <w:rFonts w:ascii="Times New Roman" w:hAnsi="Times New Roman" w:cs="Times New Roman"/>
                <w:color w:val="000000" w:themeColor="text1"/>
                <w:sz w:val="24"/>
                <w:szCs w:val="24"/>
              </w:rPr>
              <w:t xml:space="preserve">– ”Impozitul pe profit” </w:t>
            </w:r>
            <w:r w:rsidRPr="00CF27C9">
              <w:rPr>
                <w:rFonts w:ascii="Times New Roman" w:hAnsi="Times New Roman" w:cs="Times New Roman"/>
                <w:color w:val="000000" w:themeColor="text1"/>
                <w:sz w:val="24"/>
                <w:szCs w:val="24"/>
              </w:rPr>
              <w:t>din Codul fiscal, cu îndeplinirea concomitentă a unor condiții legate de valoarea capitalului social și a numărului de salariați,</w:t>
            </w:r>
          </w:p>
          <w:p w:rsidR="007A5388" w:rsidRPr="00CF27C9" w:rsidRDefault="007A5388" w:rsidP="00D542FB">
            <w:pPr>
              <w:keepLines/>
              <w:widowControl w:val="0"/>
              <w:numPr>
                <w:ilvl w:val="0"/>
                <w:numId w:val="2"/>
              </w:numPr>
              <w:shd w:val="clear" w:color="auto" w:fill="FFFFFF" w:themeFill="background1"/>
              <w:tabs>
                <w:tab w:val="left" w:pos="918"/>
              </w:tabs>
              <w:suppressAutoHyphens w:val="0"/>
              <w:spacing w:after="0" w:line="240" w:lineRule="auto"/>
              <w:ind w:right="144"/>
              <w:jc w:val="both"/>
              <w:rPr>
                <w:color w:val="000000" w:themeColor="text1"/>
              </w:rPr>
            </w:pPr>
            <w:r w:rsidRPr="00CF27C9">
              <w:rPr>
                <w:rFonts w:ascii="Times New Roman" w:hAnsi="Times New Roman" w:cs="Times New Roman"/>
                <w:color w:val="000000" w:themeColor="text1"/>
                <w:sz w:val="24"/>
                <w:szCs w:val="24"/>
              </w:rPr>
              <w:t xml:space="preserve">asigurării finanțării activităților nonprofit și a unităților de cult, care sunt furnizori de servicii sociale acreditați cu cel puțin un serviciu social licențiat, prin stimularea microîntreprinderilor de a efectua sponsorizări pentru susținerea acestor entități, </w:t>
            </w:r>
          </w:p>
          <w:p w:rsidR="006845DA" w:rsidRPr="00CF27C9" w:rsidRDefault="006845DA" w:rsidP="0057287D">
            <w:pPr>
              <w:numPr>
                <w:ilvl w:val="0"/>
                <w:numId w:val="11"/>
              </w:numPr>
              <w:spacing w:after="0" w:line="240" w:lineRule="auto"/>
              <w:ind w:left="1432" w:right="115"/>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revizuirii sistemului actual privind impozitarea veniturilor realizate din contracte de activitate sportivă încheiate conform Legii educației fizice și sportului nr. 69/2000, cu modificările și completările ulterioare, respectiv încadrarea acestor venituri în categoria veniturilor pentru care se aplică sistemul impozitării cu reținere la sursă,</w:t>
            </w:r>
          </w:p>
          <w:p w:rsidR="006845DA" w:rsidRPr="00CF27C9" w:rsidRDefault="006845DA" w:rsidP="0057287D">
            <w:pPr>
              <w:numPr>
                <w:ilvl w:val="0"/>
                <w:numId w:val="11"/>
              </w:numPr>
              <w:spacing w:after="0" w:line="240" w:lineRule="auto"/>
              <w:ind w:left="1432" w:right="115"/>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sprijinirii entităţilor nonprofit și unităților de cult care sunt furnizori de servicii sociale acreditați cu cel puțin un serviciu social licențiat, în condițiile legii, prin majorarea cotei ce poate fi distribuită din impozitul pe venit datorat, la 3,5%, </w:t>
            </w:r>
          </w:p>
          <w:p w:rsidR="005D4808" w:rsidRPr="00CF27C9" w:rsidRDefault="005D4808" w:rsidP="005D4808">
            <w:pPr>
              <w:numPr>
                <w:ilvl w:val="0"/>
                <w:numId w:val="11"/>
              </w:numPr>
              <w:spacing w:after="0" w:line="240" w:lineRule="auto"/>
              <w:ind w:left="1432" w:right="115"/>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lang w:eastAsia="ro-RO"/>
              </w:rPr>
              <w:t xml:space="preserve">asigurării tratamentului fiscal unitar din punct de vedere al TVA în cazul </w:t>
            </w:r>
            <w:r w:rsidRPr="00CF27C9">
              <w:rPr>
                <w:rFonts w:ascii="Times New Roman" w:hAnsi="Times New Roman" w:cs="Times New Roman"/>
                <w:color w:val="000000" w:themeColor="text1"/>
                <w:sz w:val="24"/>
                <w:szCs w:val="24"/>
              </w:rPr>
              <w:t xml:space="preserve">operațiunilor efectuate în cadrul proiectelor de cercetare – dezvoltare și inovare, </w:t>
            </w:r>
          </w:p>
          <w:p w:rsidR="00401ADC" w:rsidRPr="00CF27C9" w:rsidRDefault="00A63A27" w:rsidP="00183D50">
            <w:pPr>
              <w:widowControl w:val="0"/>
              <w:numPr>
                <w:ilvl w:val="0"/>
                <w:numId w:val="2"/>
              </w:numPr>
              <w:tabs>
                <w:tab w:val="left" w:pos="918"/>
              </w:tabs>
              <w:suppressAutoHyphens w:val="0"/>
              <w:spacing w:after="0" w:line="240" w:lineRule="auto"/>
              <w:ind w:right="144"/>
              <w:jc w:val="both"/>
              <w:rPr>
                <w:color w:val="000000" w:themeColor="text1"/>
              </w:rPr>
            </w:pPr>
            <w:r w:rsidRPr="00CF27C9">
              <w:rPr>
                <w:rFonts w:ascii="Times New Roman" w:hAnsi="Times New Roman" w:cs="Times New Roman"/>
                <w:color w:val="000000" w:themeColor="text1"/>
                <w:sz w:val="24"/>
                <w:szCs w:val="24"/>
              </w:rPr>
              <w:t>menținerii competitivității transportului de mărfuri și persoane, dar și considerente de ordin social, respectiv menținerea unui nivel optim al costurilor de transport,</w:t>
            </w:r>
          </w:p>
          <w:p w:rsidR="00C054D6" w:rsidRPr="00CF27C9" w:rsidRDefault="00C054D6" w:rsidP="00183D50">
            <w:pPr>
              <w:widowControl w:val="0"/>
              <w:numPr>
                <w:ilvl w:val="0"/>
                <w:numId w:val="2"/>
              </w:numPr>
              <w:tabs>
                <w:tab w:val="left" w:pos="918"/>
              </w:tabs>
              <w:suppressAutoHyphens w:val="0"/>
              <w:spacing w:after="0" w:line="240" w:lineRule="auto"/>
              <w:ind w:right="144"/>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corelării condițiilor de autorizare a antrepozitelor fiscale cu cele referitoare la revocarea au</w:t>
            </w:r>
            <w:r w:rsidR="00D37575" w:rsidRPr="00CF27C9">
              <w:rPr>
                <w:rFonts w:ascii="Times New Roman" w:hAnsi="Times New Roman" w:cs="Times New Roman"/>
                <w:bCs/>
                <w:color w:val="000000" w:themeColor="text1"/>
                <w:sz w:val="24"/>
                <w:szCs w:val="24"/>
              </w:rPr>
              <w:t>torizației de antrepozit fiscal,</w:t>
            </w:r>
          </w:p>
          <w:p w:rsidR="00D37575" w:rsidRPr="00CF27C9" w:rsidRDefault="00D37575" w:rsidP="00183D50">
            <w:pPr>
              <w:widowControl w:val="0"/>
              <w:numPr>
                <w:ilvl w:val="0"/>
                <w:numId w:val="2"/>
              </w:numPr>
              <w:tabs>
                <w:tab w:val="left" w:pos="918"/>
              </w:tabs>
              <w:suppressAutoHyphens w:val="0"/>
              <w:spacing w:after="0" w:line="240" w:lineRule="auto"/>
              <w:ind w:right="144"/>
              <w:jc w:val="both"/>
              <w:rPr>
                <w:color w:val="000000" w:themeColor="text1"/>
              </w:rPr>
            </w:pPr>
            <w:r w:rsidRPr="00CF27C9">
              <w:rPr>
                <w:rFonts w:ascii="Times New Roman" w:hAnsi="Times New Roman" w:cs="Times New Roman"/>
                <w:color w:val="000000" w:themeColor="text1"/>
                <w:sz w:val="24"/>
                <w:szCs w:val="24"/>
              </w:rPr>
              <w:t xml:space="preserve">simplificării procedurii administrative de restituire a taxei </w:t>
            </w:r>
            <w:r w:rsidRPr="00CF27C9">
              <w:rPr>
                <w:rFonts w:ascii="Times New Roman" w:hAnsi="Times New Roman" w:cs="Times New Roman"/>
                <w:color w:val="000000" w:themeColor="text1"/>
                <w:sz w:val="24"/>
                <w:szCs w:val="24"/>
                <w:lang w:eastAsia="ro-RO"/>
              </w:rPr>
              <w:t>speciale pentru autoturisme și autovehicule, a taxei pe poluare pentru autovehicule, a taxei pentru emisiile poluante provenite de la autovehicule, precum și a timbrului de mediu pentru autovehicule,</w:t>
            </w:r>
          </w:p>
          <w:p w:rsidR="00D37575" w:rsidRPr="00CF27C9" w:rsidRDefault="00D37575" w:rsidP="00183D50">
            <w:pPr>
              <w:widowControl w:val="0"/>
              <w:numPr>
                <w:ilvl w:val="0"/>
                <w:numId w:val="2"/>
              </w:numPr>
              <w:tabs>
                <w:tab w:val="left" w:pos="918"/>
              </w:tabs>
              <w:suppressAutoHyphens w:val="0"/>
              <w:spacing w:after="0" w:line="240" w:lineRule="auto"/>
              <w:ind w:right="144"/>
              <w:jc w:val="both"/>
              <w:rPr>
                <w:color w:val="000000" w:themeColor="text1"/>
              </w:rPr>
            </w:pPr>
            <w:r w:rsidRPr="00CF27C9">
              <w:rPr>
                <w:rFonts w:ascii="Times New Roman" w:hAnsi="Times New Roman" w:cs="Times New Roman"/>
                <w:color w:val="000000" w:themeColor="text1"/>
                <w:sz w:val="24"/>
                <w:szCs w:val="24"/>
                <w:lang w:eastAsia="ro-RO"/>
              </w:rPr>
              <w:t>stabilirii cadrului financiar pentru utilizarea contribuției financiare elvețiene nerambursabile acordată României prin intermediul Programului de Cooperare Elvețiano-Român vizând reducerea disparităților economice și sociale în cadrul Uniunii Europene extinse, pentru asistența acordată în cadrul abordării aferente fondurilor tematice</w:t>
            </w:r>
            <w:r w:rsidR="004C2CC8" w:rsidRPr="00CF27C9">
              <w:rPr>
                <w:rFonts w:ascii="Arial" w:hAnsi="Arial" w:cs="Arial"/>
                <w:color w:val="000000" w:themeColor="text1"/>
                <w:sz w:val="24"/>
                <w:szCs w:val="24"/>
                <w:lang w:eastAsia="ro-RO"/>
              </w:rPr>
              <w:t>,</w:t>
            </w:r>
          </w:p>
          <w:p w:rsidR="004046D1" w:rsidRPr="00CF27C9" w:rsidRDefault="004046D1" w:rsidP="00183D50">
            <w:pPr>
              <w:widowControl w:val="0"/>
              <w:numPr>
                <w:ilvl w:val="0"/>
                <w:numId w:val="2"/>
              </w:numPr>
              <w:tabs>
                <w:tab w:val="left" w:pos="918"/>
              </w:tabs>
              <w:suppressAutoHyphens w:val="0"/>
              <w:spacing w:after="0" w:line="240" w:lineRule="auto"/>
              <w:ind w:right="144"/>
              <w:jc w:val="both"/>
              <w:rPr>
                <w:color w:val="000000" w:themeColor="text1"/>
              </w:rPr>
            </w:pPr>
            <w:r w:rsidRPr="00CF27C9">
              <w:rPr>
                <w:rFonts w:ascii="Times New Roman" w:hAnsi="Times New Roman" w:cs="Times New Roman"/>
                <w:color w:val="000000" w:themeColor="text1"/>
                <w:sz w:val="24"/>
                <w:szCs w:val="24"/>
              </w:rPr>
              <w:t>realizării unei mai bune promovări turistice a municipiului București și utiliz</w:t>
            </w:r>
            <w:r w:rsidR="00486FAF" w:rsidRPr="00CF27C9">
              <w:rPr>
                <w:rFonts w:ascii="Times New Roman" w:hAnsi="Times New Roman" w:cs="Times New Roman"/>
                <w:color w:val="000000" w:themeColor="text1"/>
                <w:sz w:val="24"/>
                <w:szCs w:val="24"/>
              </w:rPr>
              <w:t>ării</w:t>
            </w:r>
            <w:r w:rsidRPr="00CF27C9">
              <w:rPr>
                <w:rFonts w:ascii="Times New Roman" w:hAnsi="Times New Roman" w:cs="Times New Roman"/>
                <w:color w:val="000000" w:themeColor="text1"/>
                <w:sz w:val="24"/>
                <w:szCs w:val="24"/>
              </w:rPr>
              <w:t xml:space="preserve"> mai eficient</w:t>
            </w:r>
            <w:r w:rsidR="00486FAF" w:rsidRPr="00CF27C9">
              <w:rPr>
                <w:rFonts w:ascii="Times New Roman" w:hAnsi="Times New Roman" w:cs="Times New Roman"/>
                <w:color w:val="000000" w:themeColor="text1"/>
                <w:sz w:val="24"/>
                <w:szCs w:val="24"/>
              </w:rPr>
              <w:t>e</w:t>
            </w:r>
            <w:r w:rsidRPr="00CF27C9">
              <w:rPr>
                <w:rFonts w:ascii="Times New Roman" w:hAnsi="Times New Roman" w:cs="Times New Roman"/>
                <w:color w:val="000000" w:themeColor="text1"/>
                <w:sz w:val="24"/>
                <w:szCs w:val="24"/>
              </w:rPr>
              <w:t xml:space="preserve"> a sumelor colectate din cazarea turiștilor, taxa instituită în municipiul București pentru promovarea turistică, se va face venit l</w:t>
            </w:r>
            <w:r w:rsidR="007379D8" w:rsidRPr="00CF27C9">
              <w:rPr>
                <w:rFonts w:ascii="Times New Roman" w:hAnsi="Times New Roman" w:cs="Times New Roman"/>
                <w:color w:val="000000" w:themeColor="text1"/>
                <w:sz w:val="24"/>
                <w:szCs w:val="24"/>
              </w:rPr>
              <w:t xml:space="preserve">a bugetul local al </w:t>
            </w:r>
            <w:r w:rsidR="00D264CE" w:rsidRPr="00CF27C9">
              <w:rPr>
                <w:rFonts w:ascii="Times New Roman" w:hAnsi="Times New Roman" w:cs="Times New Roman"/>
                <w:color w:val="000000" w:themeColor="text1"/>
                <w:sz w:val="24"/>
                <w:szCs w:val="24"/>
              </w:rPr>
              <w:t>m</w:t>
            </w:r>
            <w:r w:rsidRPr="00CF27C9">
              <w:rPr>
                <w:rFonts w:ascii="Times New Roman" w:hAnsi="Times New Roman" w:cs="Times New Roman"/>
                <w:color w:val="000000" w:themeColor="text1"/>
                <w:sz w:val="24"/>
                <w:szCs w:val="24"/>
              </w:rPr>
              <w:t>unicipiului București</w:t>
            </w:r>
            <w:r w:rsidR="00486FAF" w:rsidRPr="00CF27C9">
              <w:rPr>
                <w:rFonts w:ascii="Times New Roman" w:hAnsi="Times New Roman" w:cs="Times New Roman"/>
                <w:color w:val="000000" w:themeColor="text1"/>
                <w:sz w:val="24"/>
                <w:szCs w:val="24"/>
              </w:rPr>
              <w:t>;</w:t>
            </w:r>
            <w:r w:rsidRPr="00CF27C9">
              <w:rPr>
                <w:rFonts w:ascii="Arial" w:eastAsia="Arial" w:hAnsi="Arial" w:cs="Arial"/>
                <w:bCs/>
                <w:color w:val="000000" w:themeColor="text1"/>
                <w:sz w:val="26"/>
                <w:szCs w:val="26"/>
                <w:lang w:eastAsia="en-US"/>
              </w:rPr>
              <w:t xml:space="preserve"> </w:t>
            </w:r>
          </w:p>
          <w:p w:rsidR="00DB7540" w:rsidRPr="00CF27C9" w:rsidRDefault="00DB7540" w:rsidP="00DB7540">
            <w:pPr>
              <w:widowControl w:val="0"/>
              <w:numPr>
                <w:ilvl w:val="0"/>
                <w:numId w:val="2"/>
              </w:numPr>
              <w:tabs>
                <w:tab w:val="left" w:pos="918"/>
              </w:tabs>
              <w:suppressAutoHyphens w:val="0"/>
              <w:spacing w:after="0" w:line="240" w:lineRule="auto"/>
              <w:ind w:right="144"/>
              <w:jc w:val="both"/>
              <w:rPr>
                <w:rFonts w:ascii="Times New Roman" w:hAnsi="Times New Roman" w:cs="Times New Roman"/>
                <w:color w:val="000000" w:themeColor="text1"/>
                <w:sz w:val="24"/>
                <w:szCs w:val="24"/>
              </w:rPr>
            </w:pPr>
            <w:r w:rsidRPr="00CF27C9">
              <w:rPr>
                <w:rFonts w:ascii="Times New Roman" w:hAnsi="Times New Roman" w:cs="Times New Roman"/>
                <w:bCs/>
                <w:color w:val="000000" w:themeColor="text1"/>
                <w:sz w:val="24"/>
                <w:szCs w:val="24"/>
              </w:rPr>
              <w:t xml:space="preserve">simplificării </w:t>
            </w:r>
            <w:r w:rsidRPr="00CF27C9">
              <w:rPr>
                <w:rFonts w:ascii="Times New Roman" w:hAnsi="Times New Roman" w:cs="Times New Roman"/>
                <w:color w:val="000000" w:themeColor="text1"/>
                <w:sz w:val="24"/>
                <w:szCs w:val="24"/>
              </w:rPr>
              <w:t>acordării eșalonării la plată a obligațiilor fiscale</w:t>
            </w:r>
            <w:r w:rsidRPr="00CF27C9">
              <w:rPr>
                <w:rFonts w:ascii="Times New Roman" w:hAnsi="Times New Roman" w:cs="Times New Roman"/>
                <w:bCs/>
                <w:color w:val="000000" w:themeColor="text1"/>
                <w:sz w:val="24"/>
                <w:szCs w:val="24"/>
              </w:rPr>
              <w:t>;</w:t>
            </w:r>
          </w:p>
          <w:p w:rsidR="00DB7540" w:rsidRPr="00CF27C9" w:rsidRDefault="00DB7540" w:rsidP="00DB7540">
            <w:pPr>
              <w:widowControl w:val="0"/>
              <w:numPr>
                <w:ilvl w:val="0"/>
                <w:numId w:val="2"/>
              </w:numPr>
              <w:tabs>
                <w:tab w:val="left" w:pos="918"/>
              </w:tabs>
              <w:suppressAutoHyphens w:val="0"/>
              <w:spacing w:after="0" w:line="240" w:lineRule="auto"/>
              <w:ind w:right="144"/>
              <w:jc w:val="both"/>
              <w:rPr>
                <w:rFonts w:ascii="Times New Roman" w:hAnsi="Times New Roman" w:cs="Times New Roman"/>
                <w:color w:val="000000" w:themeColor="text1"/>
                <w:sz w:val="24"/>
                <w:szCs w:val="24"/>
              </w:rPr>
            </w:pPr>
            <w:r w:rsidRPr="00CF27C9">
              <w:rPr>
                <w:rFonts w:ascii="Times New Roman" w:hAnsi="Times New Roman" w:cs="Times New Roman"/>
                <w:bCs/>
                <w:color w:val="000000" w:themeColor="text1"/>
                <w:sz w:val="24"/>
                <w:szCs w:val="24"/>
              </w:rPr>
              <w:t>evitării disfuncționalităților în activitatea de administrare a contribuabililor mijlocii</w:t>
            </w:r>
            <w:r w:rsidR="008C74B5" w:rsidRPr="00CF27C9">
              <w:rPr>
                <w:rFonts w:ascii="Times New Roman" w:hAnsi="Times New Roman" w:cs="Times New Roman"/>
                <w:bCs/>
                <w:color w:val="000000" w:themeColor="text1"/>
                <w:sz w:val="24"/>
                <w:szCs w:val="24"/>
              </w:rPr>
              <w:t>.</w:t>
            </w:r>
            <w:r w:rsidRPr="00CF27C9">
              <w:rPr>
                <w:rFonts w:ascii="Times New Roman" w:hAnsi="Times New Roman" w:cs="Times New Roman"/>
                <w:bCs/>
                <w:color w:val="000000" w:themeColor="text1"/>
                <w:sz w:val="24"/>
                <w:szCs w:val="24"/>
              </w:rPr>
              <w:t xml:space="preserve">  </w:t>
            </w:r>
          </w:p>
          <w:p w:rsidR="00401ADC" w:rsidRPr="00CF27C9" w:rsidRDefault="00401ADC" w:rsidP="00486FAF">
            <w:pPr>
              <w:widowControl w:val="0"/>
              <w:tabs>
                <w:tab w:val="left" w:pos="918"/>
              </w:tabs>
              <w:suppressAutoHyphens w:val="0"/>
              <w:spacing w:after="0" w:line="240" w:lineRule="auto"/>
              <w:ind w:right="144"/>
              <w:jc w:val="both"/>
              <w:rPr>
                <w:color w:val="000000" w:themeColor="text1"/>
              </w:rPr>
            </w:pPr>
          </w:p>
        </w:tc>
      </w:tr>
      <w:tr w:rsidR="00CF27C9" w:rsidRPr="00CF27C9" w:rsidTr="00FF5231">
        <w:trPr>
          <w:trHeight w:val="680"/>
        </w:trPr>
        <w:tc>
          <w:tcPr>
            <w:tcW w:w="2821"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b/>
                <w:bCs/>
                <w:color w:val="000000" w:themeColor="text1"/>
                <w:sz w:val="24"/>
                <w:szCs w:val="24"/>
                <w:lang w:eastAsia="ro-RO"/>
              </w:rPr>
            </w:pPr>
            <w:r w:rsidRPr="00CF27C9">
              <w:rPr>
                <w:rFonts w:ascii="Times New Roman" w:hAnsi="Times New Roman" w:cs="Times New Roman"/>
                <w:b/>
                <w:bCs/>
                <w:color w:val="000000" w:themeColor="text1"/>
                <w:sz w:val="24"/>
                <w:szCs w:val="24"/>
                <w:lang w:eastAsia="ro-RO"/>
              </w:rPr>
              <w:t>1. Descrierea situației actuale</w:t>
            </w:r>
          </w:p>
        </w:tc>
        <w:tc>
          <w:tcPr>
            <w:tcW w:w="7994" w:type="dxa"/>
            <w:gridSpan w:val="10"/>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37575" w:rsidRPr="00CF27C9" w:rsidRDefault="00D37575" w:rsidP="00937860">
            <w:pPr>
              <w:suppressAutoHyphens w:val="0"/>
              <w:spacing w:after="0" w:line="240" w:lineRule="auto"/>
              <w:ind w:left="74" w:right="115"/>
              <w:jc w:val="both"/>
              <w:rPr>
                <w:rFonts w:ascii="Times New Roman" w:hAnsi="Times New Roman" w:cs="Times New Roman"/>
                <w:b/>
                <w:iCs/>
                <w:color w:val="000000" w:themeColor="text1"/>
                <w:sz w:val="24"/>
                <w:szCs w:val="24"/>
                <w:lang w:eastAsia="ro-RO"/>
              </w:rPr>
            </w:pPr>
            <w:r w:rsidRPr="00CF27C9">
              <w:rPr>
                <w:rFonts w:ascii="Times New Roman" w:hAnsi="Times New Roman" w:cs="Times New Roman"/>
                <w:b/>
                <w:bCs/>
                <w:color w:val="000000" w:themeColor="text1"/>
                <w:sz w:val="24"/>
                <w:szCs w:val="24"/>
                <w:lang w:eastAsia="ro-RO"/>
              </w:rPr>
              <w:t>Legea nr. 227/2015 privind Codul fiscal,</w:t>
            </w:r>
            <w:r w:rsidRPr="00CF27C9">
              <w:rPr>
                <w:rFonts w:ascii="Times New Roman" w:hAnsi="Times New Roman" w:cs="Times New Roman"/>
                <w:b/>
                <w:iCs/>
                <w:color w:val="000000" w:themeColor="text1"/>
                <w:sz w:val="24"/>
                <w:szCs w:val="24"/>
                <w:lang w:eastAsia="ro-RO"/>
              </w:rPr>
              <w:t xml:space="preserve"> cu modificările și completările ulterioare</w:t>
            </w:r>
          </w:p>
          <w:p w:rsidR="00401ADC" w:rsidRPr="00CF27C9" w:rsidRDefault="00401ADC">
            <w:pPr>
              <w:suppressAutoHyphens w:val="0"/>
              <w:spacing w:after="0" w:line="240" w:lineRule="auto"/>
              <w:ind w:right="190"/>
              <w:jc w:val="both"/>
              <w:rPr>
                <w:rFonts w:ascii="Times New Roman" w:hAnsi="Times New Roman" w:cs="Times New Roman"/>
                <w:b/>
                <w:iCs/>
                <w:color w:val="000000" w:themeColor="text1"/>
                <w:sz w:val="24"/>
                <w:szCs w:val="24"/>
                <w:lang w:eastAsia="ro-RO"/>
              </w:rPr>
            </w:pPr>
          </w:p>
          <w:p w:rsidR="00401ADC" w:rsidRPr="00CF27C9" w:rsidRDefault="00A63A27" w:rsidP="00A63558">
            <w:pPr>
              <w:suppressAutoHyphens w:val="0"/>
              <w:spacing w:after="0" w:line="240" w:lineRule="auto"/>
              <w:ind w:right="190"/>
              <w:jc w:val="both"/>
              <w:rPr>
                <w:rFonts w:ascii="Times New Roman" w:hAnsi="Times New Roman" w:cs="Times New Roman"/>
                <w:b/>
                <w:bCs/>
                <w:color w:val="000000" w:themeColor="text1"/>
                <w:sz w:val="12"/>
                <w:szCs w:val="12"/>
                <w:shd w:val="clear" w:color="auto" w:fill="FFFF00"/>
                <w:lang w:eastAsia="ro-RO"/>
              </w:rPr>
            </w:pPr>
            <w:r w:rsidRPr="00CF27C9">
              <w:rPr>
                <w:rFonts w:ascii="Times New Roman" w:hAnsi="Times New Roman" w:cs="Times New Roman"/>
                <w:b/>
                <w:bCs/>
                <w:color w:val="000000" w:themeColor="text1"/>
                <w:sz w:val="24"/>
                <w:szCs w:val="24"/>
                <w:lang w:eastAsia="ro-RO"/>
              </w:rPr>
              <w:t>A. Titlul II  - Impozitul pe profit</w:t>
            </w:r>
          </w:p>
          <w:p w:rsidR="00401ADC" w:rsidRPr="00CF27C9" w:rsidRDefault="00401ADC">
            <w:pPr>
              <w:suppressAutoHyphens w:val="0"/>
              <w:spacing w:after="0" w:line="240" w:lineRule="auto"/>
              <w:ind w:left="523" w:right="190"/>
              <w:jc w:val="both"/>
              <w:rPr>
                <w:rFonts w:ascii="Times New Roman" w:hAnsi="Times New Roman" w:cs="Times New Roman"/>
                <w:b/>
                <w:bCs/>
                <w:color w:val="000000" w:themeColor="text1"/>
                <w:sz w:val="12"/>
                <w:szCs w:val="12"/>
                <w:shd w:val="clear" w:color="auto" w:fill="FFFF00"/>
                <w:lang w:eastAsia="ro-RO"/>
              </w:rPr>
            </w:pPr>
          </w:p>
          <w:p w:rsidR="00401ADC" w:rsidRPr="00CF27C9" w:rsidRDefault="00A63A27">
            <w:pPr>
              <w:tabs>
                <w:tab w:val="left" w:pos="21"/>
              </w:tabs>
              <w:spacing w:after="0" w:line="240" w:lineRule="auto"/>
              <w:ind w:left="21" w:right="132"/>
              <w:jc w:val="both"/>
              <w:rPr>
                <w:rFonts w:ascii="Times New Roman" w:hAnsi="Times New Roman" w:cs="Times New Roman"/>
                <w:color w:val="000000" w:themeColor="text1"/>
                <w:sz w:val="24"/>
                <w:szCs w:val="24"/>
              </w:rPr>
            </w:pPr>
            <w:r w:rsidRPr="00CF27C9">
              <w:rPr>
                <w:rFonts w:ascii="Times New Roman" w:hAnsi="Times New Roman" w:cs="Times New Roman"/>
                <w:b/>
                <w:iCs/>
                <w:color w:val="000000" w:themeColor="text1"/>
                <w:sz w:val="24"/>
                <w:szCs w:val="24"/>
                <w:lang w:eastAsia="ro-RO"/>
              </w:rPr>
              <w:t>1</w:t>
            </w:r>
            <w:r w:rsidRPr="00CF27C9">
              <w:rPr>
                <w:rFonts w:ascii="Times New Roman" w:hAnsi="Times New Roman" w:cs="Times New Roman"/>
                <w:color w:val="000000" w:themeColor="text1"/>
                <w:sz w:val="24"/>
                <w:szCs w:val="24"/>
              </w:rPr>
              <w:t xml:space="preserve">. În prezent, potrivit prevederilor art. 22 alin. (1) din Codul fiscal, profitul investit în echipamente tehnologice, calculatoare electronice și echipamente periferice, mașini și aparate de casă, de control și de facturare, în programe </w:t>
            </w:r>
            <w:r w:rsidRPr="00CF27C9">
              <w:rPr>
                <w:rFonts w:ascii="Times New Roman" w:hAnsi="Times New Roman" w:cs="Times New Roman"/>
                <w:color w:val="000000" w:themeColor="text1"/>
                <w:sz w:val="24"/>
                <w:szCs w:val="24"/>
              </w:rPr>
              <w:lastRenderedPageBreak/>
              <w:t>informatice, precum și pentru dreptul de utilizare a programelor informatice, produse și/sau achiziționate și puse în funcțiune, folosite în scopul desfășurării activității economice, este scutit de impozit.</w:t>
            </w:r>
          </w:p>
          <w:p w:rsidR="00401ADC" w:rsidRPr="00CF27C9" w:rsidRDefault="00A63A27">
            <w:pPr>
              <w:spacing w:after="0" w:line="240" w:lineRule="auto"/>
              <w:ind w:left="21" w:right="132"/>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Potrivit art. 22 alin. (8) din Codul fiscal, contribuabilii care beneficiază de această facilitate au obligația de a păstra în patrimoniu activele respective cel puțin o perioadă egală cu jumătate din durata de utilizare economică, stabilită potrivit reglementărilor contabile aplicabile, dar nu mai mult de 5 ani, cu unele excepții prevăzute de lege. În cazul nerespectării acestei condiții, pentru sumele respective se recalculează impozitul pe profit și se percep creanțe fiscale accesorii potrivit Codului de procedură fiscală, de la data aplicării facilității.</w:t>
            </w:r>
          </w:p>
          <w:p w:rsidR="00401ADC" w:rsidRPr="00CF27C9" w:rsidRDefault="00A63A27">
            <w:pPr>
              <w:spacing w:after="0" w:line="240" w:lineRule="auto"/>
              <w:ind w:left="21" w:right="132"/>
              <w:jc w:val="both"/>
              <w:rPr>
                <w:rFonts w:ascii="Times New Roman" w:hAnsi="Times New Roman" w:cs="Times New Roman"/>
                <w:color w:val="000000" w:themeColor="text1"/>
                <w:sz w:val="12"/>
                <w:szCs w:val="12"/>
              </w:rPr>
            </w:pPr>
            <w:r w:rsidRPr="00CF27C9">
              <w:rPr>
                <w:rFonts w:ascii="Times New Roman" w:hAnsi="Times New Roman" w:cs="Times New Roman"/>
                <w:color w:val="000000" w:themeColor="text1"/>
                <w:sz w:val="24"/>
                <w:szCs w:val="24"/>
              </w:rPr>
              <w:t>Potrivit dispozițiilor art. II din Ordonanța de urgență a Guvernului nr. 91/2014 pentru modificarea și completarea Ordonanței de urgență a Guvernului nr. 28/1999, cu modificările și completările ulterioare, operatorii urmează să schimbe în mod obligatoriu aparatele de marcat electronice fiscale din dotare, indiferent de data achiziției acestora. În acest context, se impune introducerea unor prevederi potrivit cărora, în cazul înlocuirii aparatelor de marcat electronice, pentru respectarea cerințelor impuse de lege, să nu se aplice sancțiunea prevăzută la art. 22 alin. (8) din Codul fiscal, respectiv recalcularea impozitului pe profit și perceperea de creanțe fiscale accesorii.</w:t>
            </w:r>
          </w:p>
          <w:p w:rsidR="00401ADC" w:rsidRPr="00CF27C9" w:rsidRDefault="00A63A27">
            <w:pPr>
              <w:spacing w:after="0" w:line="240" w:lineRule="auto"/>
              <w:ind w:left="21" w:right="132"/>
              <w:jc w:val="both"/>
              <w:rPr>
                <w:rFonts w:ascii="Times New Roman" w:hAnsi="Times New Roman" w:cs="Times New Roman"/>
                <w:color w:val="000000" w:themeColor="text1"/>
                <w:sz w:val="24"/>
                <w:szCs w:val="24"/>
              </w:rPr>
            </w:pPr>
            <w:r w:rsidRPr="00CF27C9">
              <w:rPr>
                <w:rFonts w:ascii="Times New Roman" w:hAnsi="Times New Roman" w:cs="Times New Roman"/>
                <w:b/>
                <w:color w:val="000000" w:themeColor="text1"/>
                <w:sz w:val="24"/>
                <w:szCs w:val="24"/>
              </w:rPr>
              <w:t>2.</w:t>
            </w:r>
            <w:r w:rsidRPr="00CF27C9">
              <w:rPr>
                <w:rFonts w:ascii="Times New Roman" w:hAnsi="Times New Roman" w:cs="Times New Roman"/>
                <w:color w:val="000000" w:themeColor="text1"/>
                <w:sz w:val="24"/>
                <w:szCs w:val="24"/>
              </w:rPr>
              <w:t xml:space="preserve"> În prezent, pentru contribuabilii care efectuează sponsorizări/acte de mecenat sau acordă burse private, și care beneficiază de scăderea sumelor respective, în anumite limite, din impozitul pe profit, nu există obligația de a înștiința instituțiile statului în legătură cu beneficiarii acestor acțiuni.</w:t>
            </w:r>
          </w:p>
          <w:p w:rsidR="00401ADC" w:rsidRPr="00CF27C9" w:rsidRDefault="00A63A27">
            <w:pPr>
              <w:spacing w:after="0" w:line="240" w:lineRule="auto"/>
              <w:ind w:left="21" w:right="132"/>
              <w:jc w:val="both"/>
              <w:rPr>
                <w:rFonts w:ascii="Times New Roman" w:hAnsi="Times New Roman" w:cs="Times New Roman"/>
                <w:b/>
                <w:color w:val="000000" w:themeColor="text1"/>
                <w:sz w:val="24"/>
                <w:szCs w:val="24"/>
              </w:rPr>
            </w:pPr>
            <w:r w:rsidRPr="00CF27C9">
              <w:rPr>
                <w:rFonts w:ascii="Times New Roman" w:hAnsi="Times New Roman" w:cs="Times New Roman"/>
                <w:color w:val="000000" w:themeColor="text1"/>
                <w:sz w:val="24"/>
                <w:szCs w:val="24"/>
              </w:rPr>
              <w:t>S-a apreciat necesară instituirea obligației contribuabililor care efectuează sponsorizări/acte de mecenat, respectiv acordă burse private și care scad aceste sume din impozitul pe profit, de a declara beneficiarii acestor sume, spre a se putea efectua activități de monitorizare și control a sumelor alocate de contribuabili din impozitul pe profit, astfel încât să se asigure o cheltuire a fondurilor primite de beneficiari numai în scopul pentru care beneficiarii s-au înființat sau în scopul pentru care au fost alocate, după caz.</w:t>
            </w:r>
          </w:p>
          <w:p w:rsidR="00401ADC" w:rsidRPr="00CF27C9" w:rsidRDefault="00401ADC">
            <w:pPr>
              <w:suppressAutoHyphens w:val="0"/>
              <w:spacing w:after="0" w:line="240" w:lineRule="auto"/>
              <w:ind w:left="74" w:right="190" w:firstLine="89"/>
              <w:jc w:val="both"/>
              <w:rPr>
                <w:rFonts w:ascii="Times New Roman" w:hAnsi="Times New Roman" w:cs="Times New Roman"/>
                <w:b/>
                <w:color w:val="000000" w:themeColor="text1"/>
                <w:sz w:val="24"/>
                <w:szCs w:val="24"/>
              </w:rPr>
            </w:pPr>
          </w:p>
          <w:p w:rsidR="00401ADC" w:rsidRPr="00CF27C9" w:rsidRDefault="00A63A27" w:rsidP="00A63558">
            <w:pPr>
              <w:suppressAutoHyphens w:val="0"/>
              <w:spacing w:after="0" w:line="240" w:lineRule="auto"/>
              <w:ind w:right="190"/>
              <w:jc w:val="both"/>
              <w:rPr>
                <w:rFonts w:ascii="Times New Roman" w:hAnsi="Times New Roman" w:cs="Times New Roman"/>
                <w:b/>
                <w:bCs/>
                <w:color w:val="000000" w:themeColor="text1"/>
                <w:sz w:val="12"/>
                <w:szCs w:val="12"/>
              </w:rPr>
            </w:pPr>
            <w:r w:rsidRPr="00CF27C9">
              <w:rPr>
                <w:rFonts w:ascii="Times New Roman" w:hAnsi="Times New Roman" w:cs="Times New Roman"/>
                <w:b/>
                <w:color w:val="000000" w:themeColor="text1"/>
                <w:sz w:val="24"/>
                <w:szCs w:val="24"/>
              </w:rPr>
              <w:t>B. Titlul</w:t>
            </w:r>
            <w:r w:rsidRPr="00CF27C9">
              <w:rPr>
                <w:rFonts w:ascii="Times New Roman" w:hAnsi="Times New Roman" w:cs="Times New Roman"/>
                <w:bCs/>
                <w:color w:val="000000" w:themeColor="text1"/>
                <w:sz w:val="24"/>
                <w:szCs w:val="24"/>
              </w:rPr>
              <w:t xml:space="preserve"> </w:t>
            </w:r>
            <w:r w:rsidRPr="00CF27C9">
              <w:rPr>
                <w:rFonts w:ascii="Times New Roman" w:hAnsi="Times New Roman" w:cs="Times New Roman"/>
                <w:b/>
                <w:bCs/>
                <w:color w:val="000000" w:themeColor="text1"/>
                <w:sz w:val="24"/>
                <w:szCs w:val="24"/>
              </w:rPr>
              <w:t>III – Impozitul pe veniturile microîntreprinderilor</w:t>
            </w:r>
          </w:p>
          <w:p w:rsidR="00401ADC" w:rsidRPr="00CF27C9" w:rsidRDefault="00401ADC">
            <w:pPr>
              <w:suppressAutoHyphens w:val="0"/>
              <w:spacing w:after="0" w:line="240" w:lineRule="auto"/>
              <w:ind w:left="74" w:right="190" w:firstLine="89"/>
              <w:jc w:val="both"/>
              <w:rPr>
                <w:rFonts w:ascii="Times New Roman" w:hAnsi="Times New Roman" w:cs="Times New Roman"/>
                <w:b/>
                <w:bCs/>
                <w:color w:val="000000" w:themeColor="text1"/>
                <w:sz w:val="12"/>
                <w:szCs w:val="12"/>
              </w:rPr>
            </w:pPr>
          </w:p>
          <w:p w:rsidR="00401ADC" w:rsidRPr="00CF27C9" w:rsidRDefault="00A63A27">
            <w:pPr>
              <w:spacing w:after="0" w:line="240" w:lineRule="auto"/>
              <w:ind w:left="21" w:right="132"/>
              <w:jc w:val="both"/>
              <w:rPr>
                <w:color w:val="000000" w:themeColor="text1"/>
              </w:rPr>
            </w:pPr>
            <w:r w:rsidRPr="00CF27C9">
              <w:rPr>
                <w:rFonts w:ascii="Times New Roman" w:hAnsi="Times New Roman" w:cs="Times New Roman"/>
                <w:b/>
                <w:color w:val="000000" w:themeColor="text1"/>
                <w:sz w:val="24"/>
                <w:szCs w:val="24"/>
              </w:rPr>
              <w:t>1.</w:t>
            </w:r>
            <w:r w:rsidRPr="00CF27C9">
              <w:rPr>
                <w:rFonts w:ascii="Times New Roman" w:hAnsi="Times New Roman" w:cs="Times New Roman"/>
                <w:color w:val="000000" w:themeColor="text1"/>
                <w:sz w:val="24"/>
                <w:szCs w:val="24"/>
              </w:rPr>
              <w:t xml:space="preserve"> Reglementările în vigoare privind impozitul pe veniturile microîntreprinderilor nu prevăd posibilitatea de a opta pentru aplicarea prevederilor titlului II „Impozitul pe profit”.</w:t>
            </w:r>
          </w:p>
          <w:p w:rsidR="00401ADC" w:rsidRPr="00CF27C9" w:rsidRDefault="00A63A27">
            <w:pPr>
              <w:spacing w:after="0" w:line="240" w:lineRule="auto"/>
              <w:ind w:left="21" w:right="132"/>
              <w:jc w:val="both"/>
              <w:rPr>
                <w:rFonts w:ascii="Times New Roman" w:hAnsi="Times New Roman" w:cs="Times New Roman"/>
                <w:color w:val="000000" w:themeColor="text1"/>
                <w:sz w:val="12"/>
                <w:szCs w:val="12"/>
                <w:shd w:val="clear" w:color="auto" w:fill="FFFF00"/>
              </w:rPr>
            </w:pPr>
            <w:r w:rsidRPr="00CF27C9">
              <w:rPr>
                <w:rFonts w:ascii="Times New Roman" w:hAnsi="Times New Roman" w:cs="Times New Roman"/>
                <w:color w:val="000000" w:themeColor="text1"/>
                <w:sz w:val="24"/>
                <w:szCs w:val="24"/>
              </w:rPr>
              <w:t xml:space="preserve">Luând în considerare necesitatea stimulării antreprenoriatului românesc, precum și atragerii de noi investitori externi se impune reglementarea posibilității microîntreprinderilor  de a opta pentru plata impozitului pe profit în condițiile constituirii și menținerii unui capital social minim în valoare de 45.000 lei. De asemenea, pentru stimularea creării de noi locuri de muncă, considerăm că se impune și adăugarea unei condiții legate de un număr minim de salariați. </w:t>
            </w:r>
          </w:p>
          <w:p w:rsidR="00183D50" w:rsidRPr="00CF27C9" w:rsidRDefault="00A63A27">
            <w:pPr>
              <w:spacing w:after="0" w:line="240" w:lineRule="auto"/>
              <w:ind w:left="21" w:right="132"/>
              <w:jc w:val="both"/>
              <w:rPr>
                <w:rFonts w:ascii="Times New Roman" w:hAnsi="Times New Roman" w:cs="Times New Roman"/>
                <w:color w:val="000000" w:themeColor="text1"/>
                <w:sz w:val="24"/>
                <w:szCs w:val="24"/>
              </w:rPr>
            </w:pPr>
            <w:r w:rsidRPr="00CF27C9">
              <w:rPr>
                <w:rFonts w:ascii="Times New Roman" w:hAnsi="Times New Roman" w:cs="Times New Roman"/>
                <w:b/>
                <w:color w:val="000000" w:themeColor="text1"/>
                <w:sz w:val="24"/>
                <w:szCs w:val="24"/>
              </w:rPr>
              <w:t>2.</w:t>
            </w:r>
            <w:r w:rsidRPr="00CF27C9">
              <w:rPr>
                <w:rFonts w:ascii="Times New Roman" w:hAnsi="Times New Roman" w:cs="Times New Roman"/>
                <w:color w:val="000000" w:themeColor="text1"/>
                <w:sz w:val="24"/>
                <w:szCs w:val="24"/>
              </w:rPr>
              <w:t xml:space="preserve"> Reglementările în vigoare privind impozitul pe veniturile microîntreprinderilor nu prevăd deducerea din impozitul datorat a cheltuielilor de sponsorizare, acordate potrivit legii. </w:t>
            </w:r>
          </w:p>
          <w:p w:rsidR="000B0B9E" w:rsidRPr="00CF27C9" w:rsidRDefault="000B0B9E">
            <w:pPr>
              <w:spacing w:after="0" w:line="240" w:lineRule="auto"/>
              <w:ind w:left="21" w:right="132"/>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Dată fiind necesitatea susținerii entităților nonprofit și a unităților de cult, care sunt furnizori de servicii sociale acreditați cu cel puțin un serviciu social licențiat, potrivit legii, se impune reglementarea posibilității și pentru microîntreprinderi de deducere din impozitul pe veniturile microîntreprinderilor a unor sume reprezentând cheltuieli de sponsorizare, acordate potrivit legii.</w:t>
            </w:r>
          </w:p>
          <w:p w:rsidR="003B67B7" w:rsidRPr="00CF27C9" w:rsidRDefault="003B67B7">
            <w:pPr>
              <w:spacing w:after="0" w:line="240" w:lineRule="auto"/>
              <w:ind w:left="21" w:right="132"/>
              <w:jc w:val="both"/>
              <w:rPr>
                <w:rFonts w:ascii="Times New Roman" w:hAnsi="Times New Roman" w:cs="Times New Roman"/>
                <w:color w:val="000000" w:themeColor="text1"/>
                <w:sz w:val="24"/>
                <w:szCs w:val="24"/>
              </w:rPr>
            </w:pPr>
          </w:p>
          <w:p w:rsidR="003B67B7" w:rsidRDefault="003B67B7" w:rsidP="003B67B7">
            <w:pPr>
              <w:spacing w:after="0" w:line="240" w:lineRule="auto"/>
              <w:ind w:left="21" w:right="132"/>
              <w:jc w:val="both"/>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C. Titlul IV – Impozitul pe venit</w:t>
            </w:r>
          </w:p>
          <w:p w:rsidR="00A63558" w:rsidRPr="00A63558" w:rsidRDefault="00A63558" w:rsidP="003B67B7">
            <w:pPr>
              <w:spacing w:after="0" w:line="240" w:lineRule="auto"/>
              <w:ind w:left="21" w:right="132"/>
              <w:jc w:val="both"/>
              <w:rPr>
                <w:rFonts w:ascii="Times New Roman" w:hAnsi="Times New Roman" w:cs="Times New Roman"/>
                <w:b/>
                <w:bCs/>
                <w:color w:val="000000" w:themeColor="text1"/>
                <w:sz w:val="12"/>
                <w:szCs w:val="12"/>
              </w:rPr>
            </w:pPr>
          </w:p>
          <w:p w:rsidR="003B67B7" w:rsidRPr="00CF27C9" w:rsidRDefault="003B67B7" w:rsidP="003B67B7">
            <w:pPr>
              <w:spacing w:after="0" w:line="240" w:lineRule="auto"/>
              <w:ind w:left="21" w:right="132"/>
              <w:jc w:val="both"/>
              <w:rPr>
                <w:rFonts w:ascii="Times New Roman" w:hAnsi="Times New Roman" w:cs="Times New Roman"/>
                <w:bCs/>
                <w:color w:val="000000" w:themeColor="text1"/>
                <w:sz w:val="24"/>
                <w:szCs w:val="24"/>
              </w:rPr>
            </w:pPr>
            <w:r w:rsidRPr="00CF27C9">
              <w:rPr>
                <w:rFonts w:ascii="Times New Roman" w:hAnsi="Times New Roman" w:cs="Times New Roman"/>
                <w:b/>
                <w:bCs/>
                <w:color w:val="000000" w:themeColor="text1"/>
                <w:sz w:val="24"/>
                <w:szCs w:val="24"/>
              </w:rPr>
              <w:t>1.</w:t>
            </w:r>
            <w:r w:rsidRPr="00CF27C9">
              <w:rPr>
                <w:rFonts w:ascii="Times New Roman" w:hAnsi="Times New Roman" w:cs="Times New Roman"/>
                <w:bCs/>
                <w:color w:val="000000" w:themeColor="text1"/>
                <w:sz w:val="24"/>
                <w:szCs w:val="24"/>
              </w:rPr>
              <w:t xml:space="preserve"> În prezent, veniturile din activitatea sportivă sunt încadrate în categoria veniturilor din activităţi independente respectiv, prestări de servicii, în baza unor contracte de activitate sportivă.</w:t>
            </w:r>
          </w:p>
          <w:p w:rsidR="003B67B7" w:rsidRPr="00CF27C9" w:rsidRDefault="003B67B7" w:rsidP="003B67B7">
            <w:pPr>
              <w:spacing w:after="0" w:line="240" w:lineRule="auto"/>
              <w:ind w:left="21" w:right="132"/>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 xml:space="preserve">Venitul net anual din activităţi independente se determină în sistem real, pe baza datelor din contabilitate, ca diferenţă între venitul brut şi cheltuielile deductibile efectuate în scopul realizării de venituri, cu excepţia venitului net anual obținut pe baza normelor de venit și a venitului net anual din drepturile de proprietate intelectuală.   </w:t>
            </w:r>
          </w:p>
          <w:p w:rsidR="003B67B7" w:rsidRPr="00CF27C9" w:rsidRDefault="003B67B7" w:rsidP="003B67B7">
            <w:pPr>
              <w:spacing w:after="0" w:line="240" w:lineRule="auto"/>
              <w:ind w:left="21" w:right="132"/>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Impozitul anual datorat se stabileşte de către con</w:t>
            </w:r>
            <w:r w:rsidR="00A63558">
              <w:rPr>
                <w:rFonts w:ascii="Times New Roman" w:hAnsi="Times New Roman" w:cs="Times New Roman"/>
                <w:bCs/>
                <w:color w:val="000000" w:themeColor="text1"/>
                <w:sz w:val="24"/>
                <w:szCs w:val="24"/>
              </w:rPr>
              <w:t>tribuabil prin autoimpunere în d</w:t>
            </w:r>
            <w:r w:rsidRPr="00CF27C9">
              <w:rPr>
                <w:rFonts w:ascii="Times New Roman" w:hAnsi="Times New Roman" w:cs="Times New Roman"/>
                <w:bCs/>
                <w:color w:val="000000" w:themeColor="text1"/>
                <w:sz w:val="24"/>
                <w:szCs w:val="24"/>
              </w:rPr>
              <w:t>eclarația unică privind impozitul pe venit și contribuțiile sociale datorate de persoanele fizice, prin aplicarea cotei de 10% asupra venitului net din activitatea independentă.</w:t>
            </w:r>
          </w:p>
          <w:p w:rsidR="003B67B7" w:rsidRPr="00CF27C9" w:rsidRDefault="001A79A9" w:rsidP="003B67B7">
            <w:pPr>
              <w:spacing w:after="0" w:line="240" w:lineRule="auto"/>
              <w:ind w:left="21" w:right="132"/>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2</w:t>
            </w:r>
            <w:r w:rsidR="003B67B7" w:rsidRPr="00CF27C9">
              <w:rPr>
                <w:rFonts w:ascii="Times New Roman" w:hAnsi="Times New Roman" w:cs="Times New Roman"/>
                <w:b/>
                <w:bCs/>
                <w:color w:val="000000" w:themeColor="text1"/>
                <w:sz w:val="24"/>
                <w:szCs w:val="24"/>
              </w:rPr>
              <w:t>.</w:t>
            </w:r>
            <w:r w:rsidR="003B67B7" w:rsidRPr="00CF27C9">
              <w:rPr>
                <w:rFonts w:ascii="Times New Roman" w:hAnsi="Times New Roman" w:cs="Times New Roman"/>
                <w:bCs/>
                <w:color w:val="000000" w:themeColor="text1"/>
                <w:sz w:val="24"/>
                <w:szCs w:val="24"/>
              </w:rPr>
              <w:t xml:space="preserve"> Potrivit reglementărilor fiscale în vigoare, contribuabilii pot dispune asupra destinaţiei unei sume pentru susţinerea entităţilor non-profit care se înfiinţează şi funcţionează în condiţiile legii, unităţilor de cult, precum şi pentru acordarea de burse private, conform legii, sumă reprezentând până la 2% din impozitul datorat pe venitul din salarii și asimilate salariilor, din pensii, din venitul net anual impozabil, precum și câştigul net anual impozabil, din transferul titlurilor de valoare, din orice alte operaţiuni cu instrumente financiare, inclusiv instrumente financiare derivate, precum şi din transferul aurului financiar. </w:t>
            </w:r>
          </w:p>
          <w:p w:rsidR="003B67B7" w:rsidRPr="00CF27C9" w:rsidRDefault="001A79A9" w:rsidP="003B67B7">
            <w:pPr>
              <w:spacing w:after="0" w:line="240" w:lineRule="auto"/>
              <w:ind w:left="21" w:right="132"/>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3</w:t>
            </w:r>
            <w:r w:rsidR="003B67B7" w:rsidRPr="00CF27C9">
              <w:rPr>
                <w:rFonts w:ascii="Times New Roman" w:hAnsi="Times New Roman" w:cs="Times New Roman"/>
                <w:b/>
                <w:bCs/>
                <w:color w:val="000000" w:themeColor="text1"/>
                <w:sz w:val="24"/>
                <w:szCs w:val="24"/>
              </w:rPr>
              <w:t>.</w:t>
            </w:r>
            <w:r w:rsidR="003B67B7" w:rsidRPr="00CF27C9">
              <w:rPr>
                <w:rFonts w:ascii="Times New Roman" w:hAnsi="Times New Roman" w:cs="Times New Roman"/>
                <w:bCs/>
                <w:color w:val="000000" w:themeColor="text1"/>
                <w:sz w:val="24"/>
                <w:szCs w:val="24"/>
              </w:rPr>
              <w:t xml:space="preserve">  Pentru veniturile realizate de persoanele fizice individual sau într-o formă de asociere, în cazul în care s-au înregistrat pierderi ca urmare a unor fenomene meteorologice nefavorabile ce pot fi asimilate dezastrelor naturale ca îngheţ, grindină, polei, ploaie abundentă, secetă şi inundaţii, precum şi a epizootiilor ce afectează peste 30% din suprafeţele destinate producţiei agricole vegetale/animalele deţinute, norma de venit se reduce proporţional cu pierderea respectivă.</w:t>
            </w:r>
          </w:p>
          <w:p w:rsidR="003B67B7" w:rsidRPr="00CF27C9" w:rsidRDefault="003B67B7" w:rsidP="003B67B7">
            <w:pPr>
              <w:spacing w:after="0" w:line="240" w:lineRule="auto"/>
              <w:ind w:left="21" w:right="132"/>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Constatarea pagubelor şi evaluarea pierderilor se fac la cererea persoanelor fizice/asocierilor fără personalitate juridică, care desfăşoară activităţi agricole pentru care venitul anual se stabileşte pe bază de norme de venit, de o comisie numită prin ordin al prefectului judeţului/municipiului Bucureşti, la propunerea directorului executiv al direcţiei agricole judeţene/municipiului Bucureşti, comisie formată pe plan local dintr-un reprezentant al primăriei, un specialist de la Agenţia de Plăţi şi Intervenţie pentru Agricultură, un delegat din partea Administraţiei Naţionale de Meteorologie, un specialist al Inspectoratului General pentru Situaţii de Urgenţă şi un reprezentant al direcţiei generale regionale a finanţelor publice teritoriale din cadrul A.N.A.F.</w:t>
            </w:r>
          </w:p>
          <w:p w:rsidR="003B67B7" w:rsidRPr="00CF27C9" w:rsidRDefault="001A79A9" w:rsidP="003B67B7">
            <w:pPr>
              <w:spacing w:after="0" w:line="240" w:lineRule="auto"/>
              <w:ind w:left="21" w:right="132"/>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4</w:t>
            </w:r>
            <w:r w:rsidR="003B67B7" w:rsidRPr="00CF27C9">
              <w:rPr>
                <w:rFonts w:ascii="Times New Roman" w:hAnsi="Times New Roman" w:cs="Times New Roman"/>
                <w:b/>
                <w:bCs/>
                <w:color w:val="000000" w:themeColor="text1"/>
                <w:sz w:val="24"/>
                <w:szCs w:val="24"/>
              </w:rPr>
              <w:t>.</w:t>
            </w:r>
            <w:r w:rsidR="003B67B7" w:rsidRPr="00CF27C9">
              <w:rPr>
                <w:rFonts w:ascii="Times New Roman" w:hAnsi="Times New Roman" w:cs="Times New Roman"/>
                <w:bCs/>
                <w:color w:val="000000" w:themeColor="text1"/>
                <w:sz w:val="24"/>
                <w:szCs w:val="24"/>
              </w:rPr>
              <w:t xml:space="preserve"> Procedura de aplicare a prevederilor referitoare la scutirea de la plata impozitului pe venit, prevăzută la art. 76 lit. a^3) din Legea cooperaţiei agricole nr. 566/2004, cu modificările şi completările ulterioare, de care beneficiază persoanele fizice care obţin venituri individual sau într-o formă de asociere fără personalitate juridică şi pentru care stabilirea venitului anual din activităţi agricole se efectuează pe baza normelor de venit, se stabileşte prin ordin al preşedintelui A.N.A.F., cu avizul Ministerului Agriculturii şi Dezvoltării Rurale.</w:t>
            </w:r>
          </w:p>
          <w:p w:rsidR="003B67B7" w:rsidRPr="00CF27C9" w:rsidRDefault="003B67B7" w:rsidP="003B67B7">
            <w:pPr>
              <w:spacing w:after="0" w:line="240" w:lineRule="auto"/>
              <w:ind w:left="21" w:right="132"/>
              <w:jc w:val="both"/>
              <w:rPr>
                <w:rFonts w:ascii="Times New Roman" w:hAnsi="Times New Roman" w:cs="Times New Roman"/>
                <w:bCs/>
                <w:color w:val="000000" w:themeColor="text1"/>
                <w:sz w:val="24"/>
                <w:szCs w:val="24"/>
              </w:rPr>
            </w:pPr>
          </w:p>
          <w:p w:rsidR="003B67B7" w:rsidRPr="00CF27C9" w:rsidRDefault="003B67B7" w:rsidP="003B67B7">
            <w:pPr>
              <w:spacing w:after="0" w:line="240" w:lineRule="auto"/>
              <w:ind w:left="21" w:right="132"/>
              <w:jc w:val="both"/>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D. Titlul V – Contribuții sociale obligatorii</w:t>
            </w:r>
          </w:p>
          <w:p w:rsidR="003B67B7" w:rsidRPr="00A63558" w:rsidRDefault="003B67B7" w:rsidP="003B67B7">
            <w:pPr>
              <w:spacing w:after="0" w:line="240" w:lineRule="auto"/>
              <w:ind w:left="21" w:right="132"/>
              <w:jc w:val="both"/>
              <w:rPr>
                <w:rFonts w:ascii="Times New Roman" w:hAnsi="Times New Roman" w:cs="Times New Roman"/>
                <w:bCs/>
                <w:color w:val="000000" w:themeColor="text1"/>
                <w:sz w:val="12"/>
                <w:szCs w:val="12"/>
              </w:rPr>
            </w:pPr>
          </w:p>
          <w:p w:rsidR="003B67B7" w:rsidRPr="00CF27C9" w:rsidRDefault="003B67B7" w:rsidP="00261E5D">
            <w:pPr>
              <w:spacing w:after="0" w:line="240" w:lineRule="auto"/>
              <w:ind w:right="132"/>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În prezent, pentru veniturile din activitatea sportivă, regimul fiscal aplicabil în domeniul contribuției de asigurări sociale și al contribuției de asigurări sociale de sănătate este cel prevăzut pentru veniturile din activităţi independente. Determinarea contribuțiilor sociale se efectuează de către contribuabil prin autoimpunere în Declarația unică privind impozitul pe venit și contribuțiile sociale datorate de persoanele fizice, prin aplicarea cotelor de contribuții asupra venitului ales de contribuabil pentru contribuția de asigurări sociale (CAS), respectiv asupra salariului minim brut pe țară înmulțit cu 12 luni sau cu numărul de luni în care s-a desfășurat activitatea, pentru contribuția de asigurări sociale de sănătate (CASS).</w:t>
            </w:r>
          </w:p>
          <w:p w:rsidR="003B67B7" w:rsidRPr="00CF27C9" w:rsidRDefault="003B67B7" w:rsidP="003B67B7">
            <w:pPr>
              <w:spacing w:after="0" w:line="240" w:lineRule="auto"/>
              <w:ind w:left="21" w:right="132"/>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Persoana fizică face evaluarea pentru încadrarea în categoria plătitorilor de CAS și/sau CASS, în funcție de venitul estimat pentru anul curent, după cum urmează:</w:t>
            </w:r>
          </w:p>
          <w:p w:rsidR="003B67B7" w:rsidRPr="00CF27C9" w:rsidRDefault="003B67B7" w:rsidP="003B67B7">
            <w:pPr>
              <w:spacing w:after="0" w:line="240" w:lineRule="auto"/>
              <w:ind w:left="21" w:right="132"/>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 xml:space="preserve">     - datorează CAS pentru anul în curs dacă estimează că realizează venituri cumulate din activități independente și din drepturi de proprietate intelectuală, din una sau mai multe surse de venit, cel puțin egale cu 12 salarii de bază minime brute pe țară (plafonul de 22.800 lei in anul 2018);</w:t>
            </w:r>
          </w:p>
          <w:p w:rsidR="003B67B7" w:rsidRPr="00CF27C9" w:rsidRDefault="003B67B7" w:rsidP="003B67B7">
            <w:pPr>
              <w:spacing w:after="0" w:line="240" w:lineRule="auto"/>
              <w:ind w:left="21" w:right="132"/>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 xml:space="preserve">     - datorează CASS pentru anul în curs dacă estimează că realizează venituri din activități independente, drepturi de proprietate intelectuală, cedarea folosinței bunurilor, arendă, agricultură, silvicultură, piscicultură, asocieri cu persoane juridice, investiții și alte surse, din una sau mai multe surse și/sau categorii de venituri, cel puțin egale cu 12 salarii de bază minime brute pe țară (plafonul de 22.800 lei pentru anul 2018).</w:t>
            </w:r>
          </w:p>
          <w:p w:rsidR="003B67B7" w:rsidRPr="00CF27C9" w:rsidRDefault="003B67B7" w:rsidP="003B67B7">
            <w:pPr>
              <w:spacing w:after="0" w:line="240" w:lineRule="auto"/>
              <w:ind w:left="21" w:right="132"/>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Dacă estimează pentru anul curent că realizează venituri cumulate din cele menționate mai sus, din una sau mai multe surse de venit, sub plafonul de 22.800 lei, persoana fizică nu datorează CAS sau CASS, după caz, pentru anul în curs. În această situație, poate opta pentru plata contribuțiilor, în aceleași condiții cu persoanele fizice care realizează venituri peste plafonul de 12 salarii de bază minime brute pe țară.</w:t>
            </w:r>
          </w:p>
          <w:p w:rsidR="003B67B7" w:rsidRPr="00CF27C9" w:rsidRDefault="003B67B7" w:rsidP="003B67B7">
            <w:pPr>
              <w:spacing w:after="0" w:line="240" w:lineRule="auto"/>
              <w:ind w:left="21" w:right="132"/>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Plățile privind CAS și CASS se pot efectua oricând în cursul anului fiscal, până la termenul de scadență, respectiv 15 martie a anului următor celui pentru care se datorează.</w:t>
            </w:r>
          </w:p>
          <w:p w:rsidR="003B67B7" w:rsidRPr="00CF27C9" w:rsidRDefault="003B67B7" w:rsidP="003B67B7">
            <w:pPr>
              <w:spacing w:after="0" w:line="240" w:lineRule="auto"/>
              <w:ind w:left="21" w:right="132"/>
              <w:jc w:val="both"/>
              <w:rPr>
                <w:rFonts w:ascii="Times New Roman" w:hAnsi="Times New Roman" w:cs="Times New Roman"/>
                <w:bCs/>
                <w:color w:val="000000" w:themeColor="text1"/>
                <w:sz w:val="24"/>
                <w:szCs w:val="24"/>
              </w:rPr>
            </w:pPr>
          </w:p>
          <w:p w:rsidR="003B67B7" w:rsidRPr="00CF27C9" w:rsidRDefault="003B67B7" w:rsidP="003B67B7">
            <w:pPr>
              <w:spacing w:after="0" w:line="240" w:lineRule="auto"/>
              <w:ind w:left="21" w:right="132"/>
              <w:jc w:val="both"/>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 xml:space="preserve"> E. TITLUL VI –Impozitul pe veniturile obținute din România de nerezidenți și impozitul pe reprezentanțele firmelor străine înființate în România</w:t>
            </w:r>
          </w:p>
          <w:p w:rsidR="003B67B7" w:rsidRPr="00CF27C9" w:rsidRDefault="003B67B7" w:rsidP="003B67B7">
            <w:pPr>
              <w:spacing w:after="0" w:line="240" w:lineRule="auto"/>
              <w:ind w:left="21" w:right="132"/>
              <w:jc w:val="both"/>
              <w:rPr>
                <w:rFonts w:ascii="Times New Roman" w:hAnsi="Times New Roman" w:cs="Times New Roman"/>
                <w:b/>
                <w:bCs/>
                <w:color w:val="000000" w:themeColor="text1"/>
                <w:sz w:val="24"/>
                <w:szCs w:val="24"/>
              </w:rPr>
            </w:pPr>
          </w:p>
          <w:p w:rsidR="003B67B7" w:rsidRPr="00CF27C9" w:rsidRDefault="003B67B7" w:rsidP="003B67B7">
            <w:pPr>
              <w:spacing w:after="0" w:line="240" w:lineRule="auto"/>
              <w:ind w:left="21" w:right="132"/>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Dispozițiile capitolului care transpun prevederile Directivei 2003/48/CE a Consiliului din 3 iunie 2003 privind impozitarea veniturilor din economii sub forma plăților de dobânzi, cu amendamentele ulterioare se aplică până la 30 iunie 2017 în relația cu Austria. Austria a primit o derogare de un an față de celelalte state membre în temeiul articolului 2 alineat (2) al Directivei 2014/107/UE a Consiliului de modificare a Directivei 2011/16/UE în ceea ce privește schimbul automat obligatoriu de informații în domeniul fiscal.</w:t>
            </w:r>
          </w:p>
          <w:p w:rsidR="003B67B7" w:rsidRPr="00CF27C9" w:rsidRDefault="003B67B7">
            <w:pPr>
              <w:spacing w:after="0" w:line="240" w:lineRule="auto"/>
              <w:ind w:left="21" w:right="132"/>
              <w:jc w:val="both"/>
              <w:rPr>
                <w:rFonts w:ascii="Times New Roman" w:hAnsi="Times New Roman" w:cs="Times New Roman"/>
                <w:color w:val="000000" w:themeColor="text1"/>
                <w:sz w:val="24"/>
                <w:szCs w:val="24"/>
              </w:rPr>
            </w:pPr>
          </w:p>
          <w:p w:rsidR="00BB0809" w:rsidRPr="00944680" w:rsidRDefault="00BB0809" w:rsidP="00BB0809">
            <w:pPr>
              <w:suppressAutoHyphens w:val="0"/>
              <w:autoSpaceDE w:val="0"/>
              <w:autoSpaceDN w:val="0"/>
              <w:adjustRightInd w:val="0"/>
              <w:spacing w:after="0" w:line="240" w:lineRule="auto"/>
              <w:rPr>
                <w:rFonts w:ascii="Times New Roman" w:hAnsi="Times New Roman" w:cs="Times New Roman"/>
                <w:b/>
                <w:bCs/>
                <w:color w:val="000000" w:themeColor="text1"/>
                <w:sz w:val="24"/>
                <w:szCs w:val="24"/>
                <w:lang w:eastAsia="en-GB"/>
              </w:rPr>
            </w:pPr>
            <w:r w:rsidRPr="00CF27C9">
              <w:rPr>
                <w:rFonts w:ascii="Times New Roman" w:hAnsi="Times New Roman" w:cs="Times New Roman"/>
                <w:b/>
                <w:iCs/>
                <w:color w:val="000000" w:themeColor="text1"/>
                <w:sz w:val="24"/>
                <w:szCs w:val="24"/>
              </w:rPr>
              <w:t xml:space="preserve">F. </w:t>
            </w:r>
            <w:r w:rsidRPr="00944680">
              <w:rPr>
                <w:rFonts w:ascii="Times New Roman" w:hAnsi="Times New Roman" w:cs="Times New Roman"/>
                <w:b/>
                <w:bCs/>
                <w:color w:val="000000" w:themeColor="text1"/>
                <w:sz w:val="24"/>
                <w:szCs w:val="24"/>
                <w:lang w:eastAsia="en-GB"/>
              </w:rPr>
              <w:t>Taxa pe valoarea adăugată</w:t>
            </w:r>
          </w:p>
          <w:p w:rsidR="005A1164" w:rsidRPr="00944680" w:rsidRDefault="005A1164" w:rsidP="00BB0809">
            <w:pPr>
              <w:suppressAutoHyphens w:val="0"/>
              <w:autoSpaceDE w:val="0"/>
              <w:autoSpaceDN w:val="0"/>
              <w:adjustRightInd w:val="0"/>
              <w:spacing w:after="0" w:line="240" w:lineRule="auto"/>
              <w:rPr>
                <w:rFonts w:ascii="Times New Roman" w:hAnsi="Times New Roman" w:cs="Times New Roman"/>
                <w:color w:val="000000" w:themeColor="text1"/>
                <w:sz w:val="12"/>
                <w:szCs w:val="12"/>
                <w:lang w:eastAsia="en-GB"/>
              </w:rPr>
            </w:pPr>
          </w:p>
          <w:p w:rsidR="003B67B7" w:rsidRPr="00CF27C9" w:rsidRDefault="00BB0809" w:rsidP="005A1164">
            <w:pPr>
              <w:spacing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Codul fiscal nu conține prevederi exprese cu privire la regimul TVA aplicabil operațiunilor efectuate în cadrul proiectelor de cercetare – dezvoltare și inovare. </w:t>
            </w:r>
          </w:p>
          <w:p w:rsidR="00401ADC" w:rsidRPr="00CF27C9" w:rsidRDefault="008A0F11">
            <w:pPr>
              <w:spacing w:after="0" w:line="240" w:lineRule="auto"/>
              <w:ind w:left="21" w:right="132"/>
              <w:jc w:val="both"/>
              <w:rPr>
                <w:rFonts w:ascii="Times New Roman" w:hAnsi="Times New Roman" w:cs="Times New Roman"/>
                <w:b/>
                <w:iCs/>
                <w:color w:val="000000" w:themeColor="text1"/>
                <w:sz w:val="24"/>
                <w:szCs w:val="24"/>
              </w:rPr>
            </w:pPr>
            <w:r w:rsidRPr="00CF27C9">
              <w:rPr>
                <w:rFonts w:ascii="Times New Roman" w:hAnsi="Times New Roman" w:cs="Times New Roman"/>
                <w:b/>
                <w:iCs/>
                <w:color w:val="000000" w:themeColor="text1"/>
                <w:sz w:val="24"/>
                <w:szCs w:val="24"/>
              </w:rPr>
              <w:t>G</w:t>
            </w:r>
            <w:r w:rsidR="00A63A27" w:rsidRPr="00CF27C9">
              <w:rPr>
                <w:rFonts w:ascii="Times New Roman" w:hAnsi="Times New Roman" w:cs="Times New Roman"/>
                <w:b/>
                <w:iCs/>
                <w:color w:val="000000" w:themeColor="text1"/>
                <w:sz w:val="24"/>
                <w:szCs w:val="24"/>
              </w:rPr>
              <w:t>. Titlul VIII – Accize și alte taxe speciale</w:t>
            </w:r>
          </w:p>
          <w:p w:rsidR="00BF74DE" w:rsidRPr="00CF27C9" w:rsidRDefault="00BF74DE">
            <w:pPr>
              <w:spacing w:after="0" w:line="240" w:lineRule="auto"/>
              <w:ind w:left="21" w:right="132"/>
              <w:jc w:val="both"/>
              <w:rPr>
                <w:color w:val="000000" w:themeColor="text1"/>
                <w:sz w:val="12"/>
                <w:szCs w:val="12"/>
              </w:rPr>
            </w:pPr>
          </w:p>
          <w:p w:rsidR="00C054D6" w:rsidRPr="00CF27C9" w:rsidRDefault="00C054D6" w:rsidP="00C054D6">
            <w:pPr>
              <w:spacing w:after="0" w:line="240" w:lineRule="auto"/>
              <w:ind w:right="144"/>
              <w:jc w:val="both"/>
              <w:rPr>
                <w:rFonts w:ascii="Times New Roman" w:hAnsi="Times New Roman" w:cs="Times New Roman"/>
                <w:iCs/>
                <w:color w:val="000000" w:themeColor="text1"/>
                <w:sz w:val="24"/>
                <w:szCs w:val="24"/>
                <w:lang w:eastAsia="ro-RO"/>
              </w:rPr>
            </w:pPr>
            <w:r w:rsidRPr="00CF27C9">
              <w:rPr>
                <w:rFonts w:ascii="Times New Roman" w:hAnsi="Times New Roman" w:cs="Times New Roman"/>
                <w:b/>
                <w:bCs/>
                <w:iCs/>
                <w:color w:val="000000" w:themeColor="text1"/>
                <w:sz w:val="24"/>
                <w:szCs w:val="24"/>
                <w:lang w:eastAsia="ro-RO"/>
              </w:rPr>
              <w:t xml:space="preserve">1. </w:t>
            </w:r>
            <w:r w:rsidRPr="00CF27C9">
              <w:rPr>
                <w:rFonts w:ascii="Times New Roman" w:hAnsi="Times New Roman" w:cs="Times New Roman"/>
                <w:iCs/>
                <w:color w:val="000000" w:themeColor="text1"/>
                <w:sz w:val="24"/>
                <w:szCs w:val="24"/>
                <w:lang w:eastAsia="ro-RO"/>
              </w:rPr>
              <w:t xml:space="preserve">Prin Ordonanța Guvernului nr. 25/2017 </w:t>
            </w:r>
            <w:r w:rsidRPr="00CF27C9">
              <w:rPr>
                <w:rFonts w:ascii="Times New Roman" w:eastAsia="MS Mincho" w:hAnsi="Times New Roman" w:cs="Times New Roman"/>
                <w:iCs/>
                <w:color w:val="000000" w:themeColor="text1"/>
                <w:sz w:val="24"/>
                <w:szCs w:val="24"/>
                <w:lang w:eastAsia="en-US"/>
              </w:rPr>
              <w:t xml:space="preserve">pentru modificarea </w:t>
            </w:r>
            <w:r w:rsidRPr="00CF27C9">
              <w:rPr>
                <w:rFonts w:ascii="Times New Roman" w:hAnsi="Times New Roman" w:cs="Times New Roman"/>
                <w:color w:val="000000" w:themeColor="text1"/>
                <w:sz w:val="24"/>
                <w:szCs w:val="24"/>
                <w:lang w:eastAsia="ro-RO"/>
              </w:rPr>
              <w:t>și completarea Legii nr. 227/2015 privind Codul fiscal</w:t>
            </w:r>
            <w:r w:rsidRPr="00CF27C9">
              <w:rPr>
                <w:rFonts w:ascii="Times New Roman" w:eastAsia="MS Mincho" w:hAnsi="Times New Roman" w:cs="Times New Roman"/>
                <w:color w:val="000000" w:themeColor="text1"/>
                <w:sz w:val="24"/>
                <w:szCs w:val="24"/>
                <w:lang w:eastAsia="en-US"/>
              </w:rPr>
              <w:t xml:space="preserve">, </w:t>
            </w:r>
            <w:r w:rsidRPr="00CF27C9">
              <w:rPr>
                <w:rFonts w:ascii="Times New Roman" w:hAnsi="Times New Roman" w:cs="Times New Roman"/>
                <w:iCs/>
                <w:color w:val="000000" w:themeColor="text1"/>
                <w:sz w:val="24"/>
                <w:szCs w:val="24"/>
                <w:lang w:eastAsia="ro-RO"/>
              </w:rPr>
              <w:t>nivelurile accizelor pentru produsele energetice utilizate drept combustibil pentru motor, respectiv, benzină cu plumb, benzină fără plumb, motorină și kerosen au fost majorate cu câte 0,16 lei/litru în două etape, respectiv 15 septembrie și 1 octombrie 2017.</w:t>
            </w:r>
          </w:p>
          <w:p w:rsidR="00C054D6" w:rsidRPr="00CF27C9" w:rsidRDefault="00C054D6" w:rsidP="00410349">
            <w:pPr>
              <w:spacing w:after="0" w:line="240" w:lineRule="auto"/>
              <w:ind w:right="144"/>
              <w:jc w:val="both"/>
              <w:rPr>
                <w:rFonts w:ascii="Times New Roman" w:eastAsia="Arial" w:hAnsi="Times New Roman" w:cs="Arial"/>
                <w:bCs/>
                <w:iCs/>
                <w:color w:val="000000" w:themeColor="text1"/>
                <w:sz w:val="24"/>
                <w:szCs w:val="24"/>
                <w:lang w:eastAsia="ro-RO"/>
              </w:rPr>
            </w:pPr>
            <w:r w:rsidRPr="00CF27C9">
              <w:rPr>
                <w:rFonts w:ascii="Times New Roman" w:hAnsi="Times New Roman" w:cs="Times New Roman"/>
                <w:b/>
                <w:bCs/>
                <w:iCs/>
                <w:color w:val="000000" w:themeColor="text1"/>
                <w:sz w:val="24"/>
                <w:szCs w:val="24"/>
                <w:lang w:eastAsia="ro-RO"/>
              </w:rPr>
              <w:t xml:space="preserve">2. </w:t>
            </w:r>
            <w:r w:rsidRPr="00CF27C9">
              <w:rPr>
                <w:rFonts w:ascii="Times New Roman" w:eastAsia="Arial" w:hAnsi="Times New Roman" w:cs="Arial"/>
                <w:bCs/>
                <w:iCs/>
                <w:color w:val="000000" w:themeColor="text1"/>
                <w:sz w:val="24"/>
                <w:szCs w:val="24"/>
                <w:lang w:eastAsia="ro-RO"/>
              </w:rPr>
              <w:t>La momentul actual, în procesul de autorizare ca destinatari înregistrați, expeditori înregistrați și importatori autorizați, operatorii economici trebuie să îndeplinească condiția de a nu înregistra obligații fiscale restante la bugetul general consolidat, de natura celor administrate de ANAF.</w:t>
            </w:r>
          </w:p>
          <w:p w:rsidR="00C054D6" w:rsidRPr="00CF27C9" w:rsidRDefault="00C054D6" w:rsidP="00410349">
            <w:pPr>
              <w:spacing w:after="0" w:line="240" w:lineRule="auto"/>
              <w:ind w:right="144"/>
              <w:jc w:val="both"/>
              <w:rPr>
                <w:rFonts w:ascii="Times New Roman" w:hAnsi="Times New Roman" w:cs="Times New Roman"/>
                <w:iCs/>
                <w:color w:val="000000" w:themeColor="text1"/>
                <w:sz w:val="24"/>
                <w:szCs w:val="24"/>
                <w:lang w:eastAsia="ro-RO"/>
              </w:rPr>
            </w:pPr>
            <w:r w:rsidRPr="00CF27C9">
              <w:rPr>
                <w:rFonts w:ascii="Times New Roman" w:hAnsi="Times New Roman" w:cs="Times New Roman"/>
                <w:iCs/>
                <w:color w:val="000000" w:themeColor="text1"/>
                <w:sz w:val="24"/>
                <w:szCs w:val="24"/>
                <w:lang w:eastAsia="ro-RO"/>
              </w:rPr>
              <w:t xml:space="preserve">Această condiție nu se regăsește atunci când un operator economic solicită autorizarea în calitate de antrepozitar autorizat. </w:t>
            </w:r>
          </w:p>
          <w:p w:rsidR="00EC4F90" w:rsidRPr="00CF27C9" w:rsidRDefault="00EC4F90" w:rsidP="00C054D6">
            <w:pPr>
              <w:spacing w:after="0" w:line="240" w:lineRule="auto"/>
              <w:ind w:right="144"/>
              <w:jc w:val="both"/>
              <w:rPr>
                <w:rFonts w:ascii="Times New Roman" w:hAnsi="Times New Roman" w:cs="Times New Roman"/>
                <w:iCs/>
                <w:color w:val="000000" w:themeColor="text1"/>
                <w:sz w:val="24"/>
                <w:szCs w:val="24"/>
                <w:lang w:eastAsia="ro-RO"/>
              </w:rPr>
            </w:pPr>
          </w:p>
          <w:p w:rsidR="00EC4F90" w:rsidRPr="00CF27C9" w:rsidRDefault="008A0F11" w:rsidP="00EC4F90">
            <w:pPr>
              <w:spacing w:after="0" w:line="240" w:lineRule="auto"/>
              <w:ind w:right="144"/>
              <w:jc w:val="both"/>
              <w:rPr>
                <w:rFonts w:ascii="Times New Roman" w:hAnsi="Times New Roman" w:cs="Times New Roman"/>
                <w:b/>
                <w:color w:val="000000" w:themeColor="text1"/>
                <w:sz w:val="24"/>
                <w:szCs w:val="24"/>
              </w:rPr>
            </w:pPr>
            <w:r w:rsidRPr="00CF27C9">
              <w:rPr>
                <w:rFonts w:ascii="Times New Roman" w:hAnsi="Times New Roman" w:cs="Times New Roman"/>
                <w:b/>
                <w:iCs/>
                <w:color w:val="000000" w:themeColor="text1"/>
                <w:sz w:val="24"/>
                <w:szCs w:val="24"/>
                <w:lang w:eastAsia="ro-RO"/>
              </w:rPr>
              <w:t>H</w:t>
            </w:r>
            <w:r w:rsidR="00EC4F90" w:rsidRPr="00CF27C9">
              <w:rPr>
                <w:rFonts w:ascii="Times New Roman" w:hAnsi="Times New Roman" w:cs="Times New Roman"/>
                <w:b/>
                <w:iCs/>
                <w:color w:val="000000" w:themeColor="text1"/>
                <w:sz w:val="24"/>
                <w:szCs w:val="24"/>
                <w:lang w:eastAsia="ro-RO"/>
              </w:rPr>
              <w:t xml:space="preserve">. </w:t>
            </w:r>
            <w:r w:rsidR="00EC4F90" w:rsidRPr="00CF27C9">
              <w:rPr>
                <w:rFonts w:ascii="Times New Roman" w:hAnsi="Times New Roman" w:cs="Times New Roman"/>
                <w:b/>
                <w:color w:val="000000" w:themeColor="text1"/>
                <w:sz w:val="24"/>
                <w:szCs w:val="24"/>
              </w:rPr>
              <w:t>Titlul IX -Impozite si taxe locale</w:t>
            </w:r>
          </w:p>
          <w:p w:rsidR="00EC4F90" w:rsidRPr="00CF27C9" w:rsidRDefault="00EC4F90" w:rsidP="00EC4F90">
            <w:pPr>
              <w:contextualSpacing/>
              <w:jc w:val="both"/>
              <w:rPr>
                <w:rFonts w:ascii="Times New Roman" w:hAnsi="Times New Roman" w:cs="Times New Roman"/>
                <w:b/>
                <w:color w:val="000000" w:themeColor="text1"/>
                <w:sz w:val="24"/>
                <w:szCs w:val="24"/>
              </w:rPr>
            </w:pPr>
            <w:r w:rsidRPr="00CF27C9">
              <w:rPr>
                <w:rFonts w:ascii="Times New Roman" w:hAnsi="Times New Roman" w:cs="Times New Roman"/>
                <w:b/>
                <w:color w:val="000000" w:themeColor="text1"/>
                <w:sz w:val="24"/>
                <w:szCs w:val="24"/>
              </w:rPr>
              <w:t xml:space="preserve">Taxe speciale </w:t>
            </w:r>
          </w:p>
          <w:p w:rsidR="00EC4F90" w:rsidRPr="00CF27C9" w:rsidRDefault="00EC4F90" w:rsidP="00410349">
            <w:pPr>
              <w:spacing w:line="240" w:lineRule="auto"/>
              <w:contextualSpacing/>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Taxa de promovare turistică este conform Codului fiscal o taxă specială, pe care structurile de cazare o colectează de la turiști și </w:t>
            </w:r>
            <w:r w:rsidRPr="00CF27C9">
              <w:rPr>
                <w:rFonts w:ascii="Times New Roman" w:hAnsi="Times New Roman" w:cs="Times New Roman"/>
                <w:color w:val="000000" w:themeColor="text1"/>
                <w:sz w:val="24"/>
                <w:szCs w:val="24"/>
                <w:lang w:eastAsia="ro-RO"/>
              </w:rPr>
              <w:t xml:space="preserve">se face venit la bugetul local, fiind utilizată în scopurile pentru care a fost inființată. </w:t>
            </w:r>
          </w:p>
          <w:p w:rsidR="00EC4F90" w:rsidRPr="00CF27C9" w:rsidRDefault="009A52B7" w:rsidP="00410349">
            <w:pPr>
              <w:suppressAutoHyphens w:val="0"/>
              <w:autoSpaceDE w:val="0"/>
              <w:autoSpaceDN w:val="0"/>
              <w:adjustRightInd w:val="0"/>
              <w:spacing w:after="120" w:line="240" w:lineRule="auto"/>
              <w:contextualSpacing/>
              <w:jc w:val="both"/>
              <w:rPr>
                <w:rFonts w:ascii="Times New Roman" w:hAnsi="Times New Roman" w:cs="Times New Roman"/>
                <w:color w:val="000000" w:themeColor="text1"/>
                <w:sz w:val="24"/>
                <w:szCs w:val="24"/>
                <w:lang w:eastAsia="ro-RO"/>
              </w:rPr>
            </w:pPr>
            <w:r w:rsidRPr="00CF27C9">
              <w:rPr>
                <w:rFonts w:ascii="Times New Roman" w:eastAsia="SimSun" w:hAnsi="Times New Roman" w:cs="Times New Roman"/>
                <w:color w:val="000000" w:themeColor="text1"/>
                <w:sz w:val="24"/>
                <w:szCs w:val="24"/>
                <w:lang w:eastAsia="ro-RO"/>
              </w:rPr>
              <w:t>La nivelul m</w:t>
            </w:r>
            <w:r w:rsidR="00EC4F90" w:rsidRPr="00CF27C9">
              <w:rPr>
                <w:rFonts w:ascii="Times New Roman" w:eastAsia="SimSun" w:hAnsi="Times New Roman" w:cs="Times New Roman"/>
                <w:color w:val="000000" w:themeColor="text1"/>
                <w:sz w:val="24"/>
                <w:szCs w:val="24"/>
                <w:lang w:eastAsia="ro-RO"/>
              </w:rPr>
              <w:t xml:space="preserve">unicipiului București, </w:t>
            </w:r>
            <w:r w:rsidR="00EC4F90" w:rsidRPr="00CF27C9">
              <w:rPr>
                <w:rFonts w:ascii="Times New Roman" w:hAnsi="Times New Roman" w:cs="Times New Roman"/>
                <w:color w:val="000000" w:themeColor="text1"/>
                <w:sz w:val="24"/>
                <w:szCs w:val="24"/>
                <w:lang w:eastAsia="ro-RO"/>
              </w:rPr>
              <w:t xml:space="preserve">taxa specială pentru promovarea turistică a localității se face venit la bugetul local al sectoarelor. </w:t>
            </w:r>
          </w:p>
          <w:p w:rsidR="001C4A4D" w:rsidRPr="00CF27C9" w:rsidRDefault="001C4A4D" w:rsidP="00410349">
            <w:pPr>
              <w:suppressAutoHyphens w:val="0"/>
              <w:autoSpaceDE w:val="0"/>
              <w:autoSpaceDN w:val="0"/>
              <w:adjustRightInd w:val="0"/>
              <w:spacing w:after="120" w:line="240" w:lineRule="auto"/>
              <w:contextualSpacing/>
              <w:jc w:val="both"/>
              <w:rPr>
                <w:rFonts w:ascii="Times New Roman" w:hAnsi="Times New Roman" w:cs="Times New Roman"/>
                <w:color w:val="000000" w:themeColor="text1"/>
                <w:sz w:val="24"/>
                <w:szCs w:val="24"/>
                <w:lang w:eastAsia="ro-RO"/>
              </w:rPr>
            </w:pPr>
          </w:p>
          <w:p w:rsidR="00FB0453" w:rsidRPr="00CF27C9" w:rsidRDefault="00FB0453" w:rsidP="00EC4F90">
            <w:pPr>
              <w:suppressAutoHyphens w:val="0"/>
              <w:autoSpaceDE w:val="0"/>
              <w:autoSpaceDN w:val="0"/>
              <w:adjustRightInd w:val="0"/>
              <w:spacing w:after="120"/>
              <w:contextualSpacing/>
              <w:jc w:val="both"/>
              <w:rPr>
                <w:rFonts w:ascii="Times New Roman" w:hAnsi="Times New Roman" w:cs="Times New Roman"/>
                <w:b/>
                <w:color w:val="000000" w:themeColor="text1"/>
                <w:sz w:val="24"/>
                <w:szCs w:val="24"/>
              </w:rPr>
            </w:pPr>
            <w:r w:rsidRPr="00CF27C9">
              <w:rPr>
                <w:rFonts w:ascii="Times New Roman" w:hAnsi="Times New Roman" w:cs="Times New Roman"/>
                <w:b/>
                <w:color w:val="000000" w:themeColor="text1"/>
                <w:sz w:val="24"/>
                <w:szCs w:val="24"/>
              </w:rPr>
              <w:t>Legea nr. 207/2015 privind Codul de procedură fiscală, cu modificările și completările ulterioare</w:t>
            </w:r>
          </w:p>
          <w:p w:rsidR="000A5373" w:rsidRPr="00CF27C9" w:rsidRDefault="000A5373" w:rsidP="000A5373">
            <w:pPr>
              <w:pStyle w:val="western"/>
              <w:spacing w:before="0" w:after="0" w:line="240" w:lineRule="auto"/>
              <w:jc w:val="both"/>
              <w:rPr>
                <w:color w:val="000000" w:themeColor="text1"/>
              </w:rPr>
            </w:pPr>
            <w:r w:rsidRPr="00CF27C9">
              <w:rPr>
                <w:color w:val="000000" w:themeColor="text1"/>
              </w:rPr>
              <w:t xml:space="preserve">Conform Legii nr. 207/2015 privind Codul de procedură fiscală, </w:t>
            </w:r>
            <w:r w:rsidRPr="00CF27C9">
              <w:rPr>
                <w:bCs/>
                <w:color w:val="000000" w:themeColor="text1"/>
              </w:rPr>
              <w:t xml:space="preserve">cu modificările și completările ulterioare, </w:t>
            </w:r>
            <w:r w:rsidRPr="00CF27C9">
              <w:rPr>
                <w:color w:val="000000" w:themeColor="text1"/>
              </w:rPr>
              <w:t>debitorii care nu dețin bunuri în proprietate și care nu constituie garanții pot beneficia, la cerere, de eșalonarea la plată a obligațiilor fiscale pentru o</w:t>
            </w:r>
            <w:r w:rsidRPr="00CF27C9">
              <w:rPr>
                <w:b/>
                <w:color w:val="000000" w:themeColor="text1"/>
              </w:rPr>
              <w:t xml:space="preserve"> </w:t>
            </w:r>
            <w:r w:rsidRPr="00CF27C9">
              <w:rPr>
                <w:color w:val="000000" w:themeColor="text1"/>
              </w:rPr>
              <w:t>perioadă de cel mult 6 luni (indiferent de cuantumul obligațiilor fiscale).</w:t>
            </w:r>
            <w:r w:rsidRPr="00CF27C9">
              <w:rPr>
                <w:color w:val="000000" w:themeColor="text1"/>
                <w:lang w:eastAsia="ro-RO"/>
              </w:rPr>
              <w:t xml:space="preserve"> Una din condițiile pe care </w:t>
            </w:r>
            <w:r w:rsidRPr="00CF27C9">
              <w:rPr>
                <w:color w:val="000000" w:themeColor="text1"/>
              </w:rPr>
              <w:t>trebuie să le îndeplinească este aceea legată de dificultatea generată de lipsa temporară de disponibilităţi băneşti şi să aibă capacitate financiară de plată pe perioada de eşalonare la plată. Aceste situaţii se apreciază de organul fiscal competent pe baza programului de restructurare sau de redresare financiară ori a altor informaţii şi/sau documente relevante, prezentate de debitor sau deţinute de organul fiscal.</w:t>
            </w:r>
          </w:p>
          <w:p w:rsidR="00D8062A" w:rsidRPr="00CF27C9" w:rsidRDefault="00D8062A" w:rsidP="000A5373">
            <w:pPr>
              <w:pStyle w:val="western"/>
              <w:spacing w:before="0" w:after="0" w:line="240" w:lineRule="auto"/>
              <w:jc w:val="both"/>
              <w:rPr>
                <w:color w:val="000000" w:themeColor="text1"/>
              </w:rPr>
            </w:pPr>
            <w:r w:rsidRPr="00CF27C9">
              <w:rPr>
                <w:color w:val="000000" w:themeColor="text1"/>
              </w:rPr>
              <w:t>Termenul de soluționare a cererii de eșalonare este de 60 de zile de la data înregistrării.</w:t>
            </w:r>
            <w:r w:rsidRPr="00CF27C9">
              <w:rPr>
                <w:color w:val="000000" w:themeColor="text1"/>
                <w:lang w:eastAsia="ro-RO"/>
              </w:rPr>
              <w:t xml:space="preserve"> În cazul în care </w:t>
            </w:r>
            <w:r w:rsidRPr="00CF27C9">
              <w:rPr>
                <w:color w:val="000000" w:themeColor="text1"/>
              </w:rPr>
              <w:t>când există diferenţe între sumele solicitate de către debitor în cerere şi cele înscrise în certificatul de atestare fiscală, se procedează la punerea de acord a acestora</w:t>
            </w:r>
            <w:r w:rsidRPr="00CF27C9">
              <w:rPr>
                <w:color w:val="000000" w:themeColor="text1"/>
                <w:lang w:eastAsia="ro-RO"/>
              </w:rPr>
              <w:t xml:space="preserve"> și transmiterea unui </w:t>
            </w:r>
            <w:r w:rsidRPr="00CF27C9">
              <w:rPr>
                <w:color w:val="000000" w:themeColor="text1"/>
              </w:rPr>
              <w:t>acord de principiu privind eşalonarea la plată.</w:t>
            </w:r>
            <w:r w:rsidRPr="00CF27C9">
              <w:rPr>
                <w:color w:val="000000" w:themeColor="text1"/>
                <w:lang w:eastAsia="ro-RO"/>
              </w:rPr>
              <w:t xml:space="preserve"> </w:t>
            </w:r>
            <w:r w:rsidRPr="00CF27C9">
              <w:rPr>
                <w:color w:val="000000" w:themeColor="text1"/>
              </w:rPr>
              <w:t>Dobânzile se datorează şi se calculează pentru fiecare rată din graficul de eşalonare la plată începând cu data emiterii deciziei de eşalonare la plată şi până la termenul de plată din grafic.</w:t>
            </w:r>
          </w:p>
          <w:p w:rsidR="000A5373" w:rsidRPr="00CF27C9" w:rsidRDefault="000A5373" w:rsidP="000A5373">
            <w:p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De asemenea, în prezent, contribuabilii încadrați în categoria debitorilor cu risc fiscal mic beneficiază de prevederi speciale privind eșalonarea la plată, pe o perioadă de cel mult 12 luni.</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Astfel, pentru a beneficia de eșalonare, contribuabilul încadrat la risc fiscal mic trebuie să depună cererea la organul fiscal competent, să constituie o garanţie în valoare de minimum 20% din sumele ce pot face obiectul eşalonării la plată, precum şi a penalităţilor de întârziere ce pot face obiectul amânării la plată și să îndeplinească condițiile generale (mai puțin cea legată de dificultatea financiară), respectiv:</w:t>
            </w:r>
            <w:r w:rsidRPr="00944680">
              <w:rPr>
                <w:rFonts w:ascii="Times New Roman" w:hAnsi="Times New Roman" w:cs="Times New Roman"/>
                <w:color w:val="000000" w:themeColor="text1"/>
                <w:sz w:val="24"/>
                <w:szCs w:val="24"/>
              </w:rPr>
              <w:t xml:space="preserve"> </w:t>
            </w:r>
            <w:r w:rsidRPr="00CF27C9">
              <w:rPr>
                <w:rFonts w:ascii="Times New Roman" w:hAnsi="Times New Roman" w:cs="Times New Roman"/>
                <w:color w:val="000000" w:themeColor="text1"/>
                <w:sz w:val="24"/>
                <w:szCs w:val="24"/>
              </w:rPr>
              <w:t>să nu se afle procedura insolvenței sau în dizolvare și să nu li se fi stabilit răspunderea potrivit legislaţiei privind insolvenţa şi/sau răspunderea solidară, potrivit prevederilor Codului de procedură fiscală.</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Este considerat cu risc fiscal mic contribuabilul care la data depunerii cererii de eșalonare îndeplinește cumulativ mai multe condiții, respectiv:    </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    -  nu are fapte înscrise în cazierul fiscal;</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    - niciunul dintre administratori şi/sau asociaţi nu a deţinut, în ultimii 5 ani anteriori depunerii cererii, calitatea de administrator sau asociat la persoane juridice care au fost lichidate sau la care a fost declanşată procedura insolvenţei şi la care au rămas obligaţii fiscale neachitate;</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    - nu se află în inactivitate temporară înscrisă la registrul comerţului sau în registrele ţinute de instanţele judecătoreşti competente;</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iCs/>
                <w:color w:val="000000" w:themeColor="text1"/>
                <w:sz w:val="24"/>
                <w:szCs w:val="24"/>
              </w:rPr>
              <w:t xml:space="preserve">    - nu are obligaţii fiscale restante mai mari de 12 luni;</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   - nu a înregistrat pierderi contabile în fiecare an din ultimii 3 ani consecutivi. Pierderea contabilă prevăzută de prezenta literă nu cuprinde pierderea contabilă reportată provenită din ajustările cerute de aplicarea IAS 29 "Raportarea financiară în economiile hiperinflaţioniste" de către contribuabilii care aplică sau au aplicat reglementări contabile conforme cu Standardele internaţionale de raportare financiară;</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   - în cazul persoanelor juridice, să fi fost înfiinţate cu minimum 12 luni anterior depunerii cererii.</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Însă, în ceea ce privește condiția ca niciunul dintre administratori şi/sau asociaţi să nu fi deţinut o astfel de calitate la persoane juridice care au fost lichidate sau la care a fost declanşată procedura insolvenţei şi la care au rămas obligaţii fiscale neachitate în ultimii 5 ani anteriori depunerii cererii de eșalonare,  este de menționat faptul că nu în toate cazurile acest lucru se întâmplă din culpa respectivelor persoane.</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Astfel, în cadrul procedurii de insolvență, conform legislației în materie, în cazul în care există indicii că anumite persoane au contribuit la starea de insolvenţă, se poate dispune ca o parte sau întregul pasiv al debitorului, persoană juridică, ajuns în stare de insolvenţă să fie suportată de persoanele respective. În acest caz, informațiile respective privitoare la atragerea răspunderii patrimoniale se înscriu în cazierul fiscal al persoanelor în cauză, iar în situația în care sumele nu se achită, informațiile respective rămân înscrise în cazier pentru o perioadă de 5 ani.</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În cadrul procedurii de lichidare, o parte din situațiile în care, la cererea unei persoane interesate, se solicită pronunțarea dizolvării unei societăți, se înscriu și în cazierul fiscal al reprezentanților legali sau desemnați, acestea fiind condiții de declarare a inactivității societății (societatea nu mai are organe statutare, durata deţinerii spaţiului cu destinaţia de sediu social este expirată).</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De asemenea, în cazul în care societatea înregistrează datorii fiscale, în cadul procedurii de lichidare Agenția Națională de Administrare Fiscală poate face apel împotriva hotărârii de dizolvare.</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Referitor la condiția de a nu înregistra pierderi contabile în ultimii 3 ani, sunt situații în care un contribuabil poate înregistra pierdere contabilă independent de voința sa și de modul în care își desfășoară activitatea, cum este cazul diferențelor de curs valutar sau evoluției dobânzilor sau alte operațiuni nelegate de activitatea de exploatare propriu-zisă.</w:t>
            </w:r>
          </w:p>
          <w:p w:rsidR="000A5373" w:rsidRPr="00CF27C9" w:rsidRDefault="000A5373" w:rsidP="000A5373">
            <w:pPr>
              <w:pStyle w:val="western"/>
              <w:spacing w:before="0" w:after="0" w:line="240" w:lineRule="auto"/>
              <w:jc w:val="both"/>
              <w:rPr>
                <w:color w:val="000000" w:themeColor="text1"/>
              </w:rPr>
            </w:pPr>
            <w:r w:rsidRPr="00CF27C9">
              <w:rPr>
                <w:color w:val="000000" w:themeColor="text1"/>
              </w:rPr>
              <w:t>Termenul de soluționare a cererii de eșalobnare este de 60 de zile de la data înregistrării.</w:t>
            </w:r>
            <w:r w:rsidRPr="00CF27C9">
              <w:rPr>
                <w:color w:val="000000" w:themeColor="text1"/>
                <w:lang w:eastAsia="ro-RO"/>
              </w:rPr>
              <w:t xml:space="preserve"> În cazul în care </w:t>
            </w:r>
            <w:r w:rsidRPr="00CF27C9">
              <w:rPr>
                <w:color w:val="000000" w:themeColor="text1"/>
              </w:rPr>
              <w:t>când există diferenţe între sumele solicitate de către debitor în cerere şi cele înscrise în certificatul de atestare fiscală, se procedează la punerea de acord a acestora</w:t>
            </w:r>
            <w:r w:rsidRPr="00CF27C9">
              <w:rPr>
                <w:color w:val="000000" w:themeColor="text1"/>
                <w:lang w:eastAsia="ro-RO"/>
              </w:rPr>
              <w:t xml:space="preserve"> și transmiterea unui </w:t>
            </w:r>
            <w:r w:rsidRPr="00CF27C9">
              <w:rPr>
                <w:color w:val="000000" w:themeColor="text1"/>
              </w:rPr>
              <w:t>acord de principiu privind eşalonarea la plată.</w:t>
            </w:r>
            <w:r w:rsidRPr="00CF27C9">
              <w:rPr>
                <w:color w:val="000000" w:themeColor="text1"/>
                <w:lang w:eastAsia="ro-RO"/>
              </w:rPr>
              <w:t xml:space="preserve"> </w:t>
            </w:r>
            <w:r w:rsidRPr="00CF27C9">
              <w:rPr>
                <w:color w:val="000000" w:themeColor="text1"/>
              </w:rPr>
              <w:t>Dobânzile se datorează şi se calculează pentru fiecare rată din graficul de eşalonare la plată începând cu data emiterii deciziei de eşalonare la plată şi până la termenul de plată din grafic.</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În prezent, taxa pe valoarea adăugată solicitată la rambursare prin deconturile cu sumă negativă de taxă pe valoarea adăugată cu opţiune de rambursare se rambursează de organul fiscal central, potrivit procedurii şi condiţiilor aprobate prin ordin al preşedintelui A.N.A.F., pe baza analizei de risc, în baza căreia organul fiscal central dacă efectuează inspecţia fiscală anterior sau ulterior aprobării rambursării.</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Una din excepțiile de la această regulă o reprezintă situația deconturilor cu sumă negativă de taxă pe valoarea adăugată cu opţiune de rambursare pentru care suma solicitată la rambursare este de până la 45.000 lei, caz în care organul fiscal central rambursează taxa cu efectuarea, ulterior, a inspecţiei fiscale.</w:t>
            </w:r>
          </w:p>
          <w:p w:rsidR="000A5373" w:rsidRPr="00CF27C9" w:rsidRDefault="000A5373" w:rsidP="000A5373">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Este de precizat faptul că și în cazul contribuabilor care beneficiază de eșalonarea la plată, atât la momentul la care se aprobă decizia de eșalonare, cât și  pe perioada menținerii valabilității eșalonării, aceștia sunt supuși unor verificări, respectiv monitorizări de către organul fiscal și, ca atare, nu mai este necesară o analiză suplimentară din perspectiva sumelor pe care le-ar avea de rambursat de la buget. </w:t>
            </w:r>
          </w:p>
          <w:p w:rsidR="000A5373" w:rsidRPr="00CF27C9" w:rsidRDefault="000A5373" w:rsidP="000A5373">
            <w:pPr>
              <w:spacing w:after="0" w:line="240" w:lineRule="auto"/>
              <w:rPr>
                <w:rFonts w:ascii="Times New Roman" w:hAnsi="Times New Roman" w:cs="Times New Roman"/>
                <w:color w:val="000000" w:themeColor="text1"/>
                <w:sz w:val="24"/>
                <w:szCs w:val="24"/>
              </w:rPr>
            </w:pPr>
          </w:p>
          <w:p w:rsidR="00FD0886" w:rsidRPr="00CF27C9" w:rsidRDefault="00FD0886" w:rsidP="00FD0886">
            <w:pPr>
              <w:suppressAutoHyphens w:val="0"/>
              <w:autoSpaceDE w:val="0"/>
              <w:autoSpaceDN w:val="0"/>
              <w:adjustRightInd w:val="0"/>
              <w:spacing w:after="120"/>
              <w:contextualSpacing/>
              <w:jc w:val="both"/>
              <w:rPr>
                <w:rFonts w:ascii="Times New Roman" w:hAnsi="Times New Roman" w:cs="Times New Roman"/>
                <w:color w:val="000000" w:themeColor="text1"/>
                <w:sz w:val="24"/>
                <w:szCs w:val="24"/>
                <w:lang w:eastAsia="ro-RO"/>
              </w:rPr>
            </w:pPr>
            <w:r w:rsidRPr="00CF27C9">
              <w:rPr>
                <w:rFonts w:ascii="Times New Roman" w:hAnsi="Times New Roman" w:cs="Times New Roman"/>
                <w:b/>
                <w:color w:val="000000" w:themeColor="text1"/>
                <w:sz w:val="24"/>
                <w:szCs w:val="24"/>
              </w:rPr>
              <w:t xml:space="preserve">Legea nr. 30/2018 </w:t>
            </w:r>
            <w:r w:rsidRPr="00CF27C9">
              <w:rPr>
                <w:rFonts w:ascii="Times New Roman" w:hAnsi="Times New Roman" w:cs="Times New Roman"/>
                <w:b/>
                <w:color w:val="000000" w:themeColor="text1"/>
                <w:sz w:val="24"/>
                <w:szCs w:val="24"/>
                <w:lang w:val="en-US" w:eastAsia="en-GB"/>
              </w:rPr>
              <w:t>pentru completarea art. 30 din Legea nr. 207/2015 privind Codul de procedură fiscală</w:t>
            </w:r>
          </w:p>
          <w:p w:rsidR="008C07FA" w:rsidRPr="00CF27C9" w:rsidRDefault="008C07FA" w:rsidP="00410349">
            <w:pPr>
              <w:suppressAutoHyphens w:val="0"/>
              <w:spacing w:after="0" w:line="240" w:lineRule="auto"/>
              <w:ind w:right="190"/>
              <w:jc w:val="both"/>
              <w:rPr>
                <w:rFonts w:ascii="Times New Roman" w:hAnsi="Times New Roman" w:cs="Times New Roman"/>
                <w:b/>
                <w:color w:val="000000" w:themeColor="text1"/>
                <w:sz w:val="12"/>
                <w:szCs w:val="12"/>
              </w:rPr>
            </w:pPr>
          </w:p>
          <w:p w:rsidR="001C4A4D" w:rsidRPr="00CF27C9" w:rsidRDefault="001C4A4D" w:rsidP="001C4A4D">
            <w:pPr>
              <w:suppressAutoHyphens w:val="0"/>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Prin Legea nr. 30/2018</w:t>
            </w:r>
            <w:r w:rsidRPr="00944680">
              <w:rPr>
                <w:rFonts w:ascii="Times New Roman" w:hAnsi="Times New Roman" w:cs="Times New Roman"/>
                <w:color w:val="000000" w:themeColor="text1"/>
                <w:sz w:val="28"/>
                <w:szCs w:val="28"/>
              </w:rPr>
              <w:t xml:space="preserve"> </w:t>
            </w:r>
            <w:r w:rsidRPr="00CF27C9">
              <w:rPr>
                <w:rFonts w:ascii="Times New Roman" w:hAnsi="Times New Roman" w:cs="Times New Roman"/>
                <w:color w:val="000000" w:themeColor="text1"/>
                <w:sz w:val="24"/>
                <w:szCs w:val="24"/>
              </w:rPr>
              <w:t>pentru completarea art. 30 din Legea nr. 207/2015 privind Codul de procedură fiscală s-au modificat prevederile Codului de procedură fiscală în sensul că administrarea obligaţiilor fiscale datorate de contribuabilii mijlocii, inclusiv de sediile secundare ale acestora, se realizează de organul fiscal de la nivel judeţean sau al municipiului Bucureşti, după caz.</w:t>
            </w:r>
          </w:p>
          <w:p w:rsidR="001C4A4D" w:rsidRPr="00CF27C9" w:rsidRDefault="001C4A4D" w:rsidP="001C4A4D">
            <w:pPr>
              <w:autoSpaceDE w:val="0"/>
              <w:autoSpaceDN w:val="0"/>
              <w:adjustRightInd w:val="0"/>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Conform art. II din Legea nr. 30/2018, aceste prevederi se aplică începând cu prima zi a trimestrului următor intrării în vigoare a Legii nr. 30/2018. Ținând seama de faptul că actul normativ a fost publicat în Monitorul Oficial în data de 18 ianuarie 2018, acesta intrând în vigoare la 3 zile de la publicare, reiese că prevederile referitoare la administrarea de către organul fiscal de la nivel judeţean sau al municipiului Bucureşti a contribuabililor mijlocii ar urma să se aplice începând cu data de 01 aprilie 2018.</w:t>
            </w:r>
          </w:p>
          <w:p w:rsidR="001C4A4D" w:rsidRPr="00CF27C9" w:rsidRDefault="001C4A4D" w:rsidP="001C4A4D">
            <w:pPr>
              <w:autoSpaceDE w:val="0"/>
              <w:autoSpaceDN w:val="0"/>
              <w:adjustRightInd w:val="0"/>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Până la apariția Legii nr. 30/2018, prin Ordinul președintelui ANAF nr. 3610/2016 privind organizarea activităţii de administrare a contribuabililor mijlocii</w:t>
            </w:r>
            <w:r w:rsidRPr="00944680">
              <w:rPr>
                <w:rFonts w:ascii="Times New Roman" w:hAnsi="Times New Roman" w:cs="Times New Roman"/>
                <w:color w:val="000000" w:themeColor="text1"/>
                <w:sz w:val="28"/>
                <w:szCs w:val="28"/>
              </w:rPr>
              <w:t xml:space="preserve"> </w:t>
            </w:r>
            <w:r w:rsidRPr="00944680">
              <w:rPr>
                <w:rFonts w:ascii="Times New Roman" w:hAnsi="Times New Roman" w:cs="Times New Roman"/>
                <w:color w:val="000000" w:themeColor="text1"/>
                <w:sz w:val="24"/>
                <w:szCs w:val="24"/>
              </w:rPr>
              <w:t xml:space="preserve">s-a </w:t>
            </w:r>
            <w:r w:rsidRPr="00CF27C9">
              <w:rPr>
                <w:rFonts w:ascii="Times New Roman" w:hAnsi="Times New Roman" w:cs="Times New Roman"/>
                <w:color w:val="000000" w:themeColor="text1"/>
                <w:sz w:val="24"/>
                <w:szCs w:val="24"/>
              </w:rPr>
              <w:t>stabilit competenţa de administrare a contribuabililor mijlocii în sarcina direcţiilor generale regionale ale finanţelor publice, prin administraţiile pentru contribuabilii mijlocii constituite la nivelul acestora în a căror rază teritorială se află domiciliul fiscal al</w:t>
            </w:r>
            <w:r w:rsidRPr="00944680">
              <w:rPr>
                <w:rFonts w:ascii="Times New Roman" w:hAnsi="Times New Roman" w:cs="Times New Roman"/>
                <w:color w:val="000000" w:themeColor="text1"/>
                <w:sz w:val="24"/>
                <w:szCs w:val="24"/>
              </w:rPr>
              <w:t xml:space="preserve"> </w:t>
            </w:r>
            <w:r w:rsidRPr="00CF27C9">
              <w:rPr>
                <w:rFonts w:ascii="Times New Roman" w:hAnsi="Times New Roman" w:cs="Times New Roman"/>
                <w:color w:val="000000" w:themeColor="text1"/>
                <w:sz w:val="24"/>
                <w:szCs w:val="24"/>
              </w:rPr>
              <w:t>contribuabilului mijlociu.</w:t>
            </w:r>
          </w:p>
          <w:p w:rsidR="001C4A4D" w:rsidRPr="00CF27C9" w:rsidRDefault="001C4A4D" w:rsidP="001C4A4D">
            <w:pPr>
              <w:autoSpaceDE w:val="0"/>
              <w:autoSpaceDN w:val="0"/>
              <w:adjustRightInd w:val="0"/>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Conform ordinului menționat, numărul contribuabililor mijlocii selectați în funcție de criteriul de bază (cifra de afaceri, volumul obligaţiilor fiscale declarate, volumul cheltuielilor cu personalul) este de 18.478, la acesta adăugându-se și contribuabilii mijlocii stabiliți în funcție de celelalte criterii (de reprezentare fiscală, criteriul grupului fiscal unic și criteriul de continuitate),</w:t>
            </w:r>
            <w:r w:rsidRPr="00944680">
              <w:rPr>
                <w:rFonts w:ascii="Times New Roman" w:hAnsi="Times New Roman" w:cs="Times New Roman"/>
                <w:color w:val="000000" w:themeColor="text1"/>
                <w:sz w:val="24"/>
                <w:szCs w:val="24"/>
                <w:lang w:val="fr-BE"/>
              </w:rPr>
              <w:t xml:space="preserve"> </w:t>
            </w:r>
            <w:r w:rsidRPr="00CF27C9">
              <w:rPr>
                <w:rFonts w:ascii="Times New Roman" w:hAnsi="Times New Roman" w:cs="Times New Roman"/>
                <w:color w:val="000000" w:themeColor="text1"/>
                <w:sz w:val="24"/>
                <w:szCs w:val="24"/>
              </w:rPr>
              <w:t>rezultând un total de 23.472.</w:t>
            </w:r>
          </w:p>
          <w:p w:rsidR="001C4A4D" w:rsidRPr="00CF27C9" w:rsidRDefault="001C4A4D" w:rsidP="001C4A4D">
            <w:pPr>
              <w:autoSpaceDE w:val="0"/>
              <w:autoSpaceDN w:val="0"/>
              <w:adjustRightInd w:val="0"/>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Având în vedere numărul mare al contribuabililor mijlocii administrați la nivelul celor 7 regiuni și municipiul București, precum și faptul că termenul de transfer al dosarelor fiscale de la administraţiile pentru contribuabilii mijlocii constituite la nivelul regiunii către organele fiscale de la nivel județean/al municipiului București este foarte scurt, în vederea evitării disfuncționalităților în activitatea de administrare al acestor contribuabili și ținând seama de dificultăţile legate de funcţionarea sistemului infomatic al ANAF, este necesară prorogarea termenului prevăzut la art. II din Legea nr. 30/2018.</w:t>
            </w:r>
          </w:p>
          <w:p w:rsidR="001C4A4D" w:rsidRPr="00CF27C9" w:rsidRDefault="001C4A4D" w:rsidP="001C4A4D">
            <w:pPr>
              <w:autoSpaceDE w:val="0"/>
              <w:autoSpaceDN w:val="0"/>
              <w:adjustRightInd w:val="0"/>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În acest context ANAF are in vedere definitivarea structurilor teritoriale care vor administra această categorie de contribuabili la nivelul administraţiilor judeţene.</w:t>
            </w:r>
          </w:p>
          <w:p w:rsidR="00A4652B" w:rsidRPr="00CF27C9" w:rsidRDefault="00A4652B" w:rsidP="001C4A4D">
            <w:pPr>
              <w:autoSpaceDE w:val="0"/>
              <w:autoSpaceDN w:val="0"/>
              <w:adjustRightInd w:val="0"/>
              <w:spacing w:after="0" w:line="240" w:lineRule="auto"/>
              <w:jc w:val="both"/>
              <w:rPr>
                <w:rFonts w:ascii="Times New Roman" w:hAnsi="Times New Roman" w:cs="Times New Roman"/>
                <w:color w:val="000000" w:themeColor="text1"/>
                <w:sz w:val="24"/>
                <w:szCs w:val="24"/>
              </w:rPr>
            </w:pPr>
          </w:p>
          <w:p w:rsidR="00D37575" w:rsidRPr="00CF27C9" w:rsidRDefault="00D37575" w:rsidP="00E60B1D">
            <w:pPr>
              <w:spacing w:after="0" w:line="240" w:lineRule="auto"/>
              <w:jc w:val="both"/>
              <w:rPr>
                <w:rFonts w:ascii="Times New Roman" w:hAnsi="Times New Roman" w:cs="Times New Roman"/>
                <w:bCs/>
                <w:color w:val="000000" w:themeColor="text1"/>
                <w:sz w:val="24"/>
                <w:szCs w:val="24"/>
              </w:rPr>
            </w:pPr>
            <w:r w:rsidRPr="00CF27C9">
              <w:rPr>
                <w:rFonts w:ascii="Times New Roman" w:hAnsi="Times New Roman" w:cs="Times New Roman"/>
                <w:b/>
                <w:bCs/>
                <w:color w:val="000000" w:themeColor="text1"/>
                <w:sz w:val="24"/>
                <w:szCs w:val="24"/>
              </w:rPr>
              <w:t xml:space="preserve">Ordonanța de urgență </w:t>
            </w:r>
            <w:r w:rsidRPr="00CF27C9">
              <w:rPr>
                <w:rFonts w:ascii="Times New Roman" w:hAnsi="Times New Roman" w:cs="Times New Roman"/>
                <w:b/>
                <w:color w:val="000000" w:themeColor="text1"/>
                <w:sz w:val="24"/>
                <w:szCs w:val="24"/>
              </w:rPr>
              <w:t>a Guvernului nr.</w:t>
            </w:r>
            <w:r w:rsidR="006569D7" w:rsidRPr="00CF27C9">
              <w:rPr>
                <w:rFonts w:ascii="Times New Roman" w:hAnsi="Times New Roman" w:cs="Times New Roman"/>
                <w:b/>
                <w:color w:val="000000" w:themeColor="text1"/>
                <w:sz w:val="24"/>
                <w:szCs w:val="24"/>
              </w:rPr>
              <w:t xml:space="preserve"> </w:t>
            </w:r>
            <w:r w:rsidRPr="00CF27C9">
              <w:rPr>
                <w:rFonts w:ascii="Times New Roman" w:hAnsi="Times New Roman" w:cs="Times New Roman"/>
                <w:b/>
                <w:color w:val="000000" w:themeColor="text1"/>
                <w:sz w:val="24"/>
                <w:szCs w:val="24"/>
              </w:rPr>
              <w:t>52/2017 privind restituirea sumelor reprezentând taxa specială pentru autoturisme și autovehicule, taxa pe poluare pentru autovehicule, taxa pentru emisiile poluante provenite de la autovehicule și timbrul de mediu pentru autovehicule, cu completările ulterioare</w:t>
            </w:r>
          </w:p>
          <w:p w:rsidR="00D37575" w:rsidRPr="00CF27C9" w:rsidRDefault="00D37575" w:rsidP="00D37575">
            <w:pPr>
              <w:spacing w:after="0" w:line="240" w:lineRule="auto"/>
              <w:ind w:right="144"/>
              <w:jc w:val="both"/>
              <w:rPr>
                <w:rFonts w:ascii="Times New Roman" w:hAnsi="Times New Roman" w:cs="Times New Roman"/>
                <w:bCs/>
                <w:color w:val="000000" w:themeColor="text1"/>
                <w:sz w:val="12"/>
                <w:szCs w:val="12"/>
              </w:rPr>
            </w:pPr>
          </w:p>
          <w:p w:rsidR="00CC0454" w:rsidRPr="00CF27C9" w:rsidRDefault="00CC0454" w:rsidP="00CC0454">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În prezent, conform Ordonanței de urgență a Guvernului nr. 52/2017 privind restituirea sumelor reprezentând taxa specială pentru autoturisme și autovehicule, taxa pe poluare pentru autovehicule, taxa pentru emisiile poluante provenite de la autovehicule și timbrul de mediu pentru autovehicule, cu completările ulterioare, este stabilită, ca regulă generală, că restituirea pe cale administrativă a taxei speciale pentru autoturisme și autovehicule/taxei pe poluare pentru autovehicule/taxei pentru emisiile poluante provenite de la autovehicule/timbrului de mediu pentru autovehicule se efectuează de organul fiscal central în baza cererii depuse de contribuabil, la care se anexează, în original sau în copie, documentul doveditor al plății taxei speciale pentru autoturisme și autovehicule, taxei pe poluare pentru autovehicule, taxei pentru emisiile poluante provenite de la autovehicule sau timbrului de mediu pentru autovehicule, respectiv chitanța fiscală/ordinul de plată și extrasul de cont, după caz, care să ateste efectuarea plății acesteia, precum și copiile cărții de identitate a vehiculului și a certificatului de înmatriculare.</w:t>
            </w:r>
          </w:p>
          <w:p w:rsidR="00CC0454" w:rsidRPr="00CF27C9" w:rsidRDefault="00CC0454" w:rsidP="00CC0454">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Însă, organul fiscal central are posibilitatea de a verifica în baza de date pe care o deține sau în bazele de date la care are acces informațiile referitoare la: identificarea plății efectuate de contribuabil, identitatea vehiculului, înmatricularea acestuia și persoanele care au înmatriculat autovehiculul.</w:t>
            </w:r>
          </w:p>
          <w:p w:rsidR="006003C0" w:rsidRPr="00CF27C9" w:rsidRDefault="006003C0" w:rsidP="00CC0454">
            <w:pPr>
              <w:spacing w:after="0" w:line="240" w:lineRule="auto"/>
              <w:jc w:val="both"/>
              <w:rPr>
                <w:rFonts w:ascii="Times New Roman" w:hAnsi="Times New Roman" w:cs="Times New Roman"/>
                <w:color w:val="000000" w:themeColor="text1"/>
                <w:sz w:val="24"/>
                <w:szCs w:val="24"/>
              </w:rPr>
            </w:pPr>
          </w:p>
          <w:p w:rsidR="008A153A" w:rsidRPr="00CF27C9" w:rsidRDefault="008A153A" w:rsidP="008A153A">
            <w:pPr>
              <w:spacing w:after="0" w:line="240" w:lineRule="auto"/>
              <w:jc w:val="both"/>
              <w:rPr>
                <w:rFonts w:ascii="Times New Roman" w:hAnsi="Times New Roman" w:cs="Times New Roman"/>
                <w:b/>
                <w:color w:val="000000" w:themeColor="text1"/>
                <w:sz w:val="24"/>
                <w:szCs w:val="24"/>
              </w:rPr>
            </w:pPr>
            <w:r w:rsidRPr="00CF27C9">
              <w:rPr>
                <w:rFonts w:ascii="Times New Roman" w:hAnsi="Times New Roman" w:cs="Times New Roman"/>
                <w:b/>
                <w:color w:val="000000" w:themeColor="text1"/>
                <w:sz w:val="24"/>
                <w:szCs w:val="24"/>
              </w:rPr>
              <w:t xml:space="preserve">Ordonanța de urgență a Guvernului nr. 62/2011 privind stabilirea cadrului financiar general pentru utilizarea contribuției financiare elvețiene nerambursabile acordate României prin intermediul Programului de cooperare elvețiano-român vizând reducerea disparităților economice și sociale în cadrul Uniunii Europene extinse, precum și a contribuției naționale aferente acestei asistențe, aprobată prin Legea nr. 2/2012, cu modificările și completările ulterioare </w:t>
            </w:r>
          </w:p>
          <w:p w:rsidR="008A153A" w:rsidRPr="00CF27C9" w:rsidRDefault="008A153A" w:rsidP="008A153A">
            <w:pPr>
              <w:spacing w:after="0" w:line="240" w:lineRule="auto"/>
              <w:jc w:val="both"/>
              <w:rPr>
                <w:rFonts w:ascii="Times New Roman" w:hAnsi="Times New Roman" w:cs="Times New Roman"/>
                <w:b/>
                <w:color w:val="000000" w:themeColor="text1"/>
                <w:sz w:val="10"/>
                <w:szCs w:val="10"/>
              </w:rPr>
            </w:pPr>
          </w:p>
          <w:p w:rsidR="008A153A" w:rsidRPr="00CF27C9" w:rsidRDefault="008A153A" w:rsidP="008A153A">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Prin Ordonanța de urgență a Guvernului nr. 62/2011, cu modificările și completările ulterioare, a fost stabilit cadrul financiar general pentru utilizarea contribuției financiare elvețiene nerambursabile acordată României prin intermediul Programului de cooperare elvețiano - român pentru asistența acordată în cadrul abordării bazate pe „proiecte”, asistența acordată prin “facilitatea de pregătire a proiectului”, „asistența acordă prin fondul pentru asistență tehnică” și „asistența prin fondul pentru acțiuni în domeniul managementului energiei durabile – SEAF”. Astfel, au fost stabilite modalitățile prin care sumele necesare asigurării finanțării, respectiv cofinanțării proiectelor și măsurilor dezvoltate prin intermediul acestor tipuri de asistență pot fi cuprinse în bugetele instituțiilor implicate și modalitățile de rambursare a cheltuielilor eligibile. Beneficiarii din cadrul Programului de cooperare elvețiano-român pot fi: instituții publice finanțate integral din bugetul de stat, bugetul asigurărilor sociale de stat sau bugetele fondurilor speciale, instituții publice finanțate integral din venituri proprii și/sau finanțate parțial de la bugetul de stat, bugetul asigurărilor sociale de stat ori bugetele fondurilor speciale, unități/subdiviziuni administrativ-teritoriale beneficiare de proiecte/măsuri, atât pentru proiectele/măsurile proprii, cât și pentru proiectele/măsurile ai căror beneficiari sunt entități finanțate integral din bugetele acestora; entități publice locale finanțate integral din venituri proprii și/sau finanțate parțial de la bugetele locale; unități/subdiviziuni     administrativ-teritoriale care au calitatea de beneficiari SEAF, alți beneficiari de proiecte/măsuri.</w:t>
            </w:r>
          </w:p>
          <w:p w:rsidR="008A153A" w:rsidRPr="00CF27C9" w:rsidRDefault="008A153A" w:rsidP="008A153A">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Deși asistența în cadrul abordării aferente fondurilor tematice a fost menționată în cadrul ordonanței, nu a fost necesară reglementarea fluxurilor financiare pentru această componentă, dat fiind faptul că pentru proiectele implementate de către beneficiarii entități publice, aceștia aveau obligația asigurării doar a cofinanțării naționale. Plata sumelor aferente finanțării nerambursabile elvețiene din cadrul proiectelor se efectua de către Organismele Intermediare Elvețiene responsabile de fondurile tematice. Organismele Intermediare Elvețiene sunt orice persoane juridice publice sau private mandatate de partea elvețiană pentru managementul fondurilor tematice.</w:t>
            </w:r>
          </w:p>
          <w:p w:rsidR="008A153A" w:rsidRPr="00CF27C9" w:rsidRDefault="008A153A" w:rsidP="008A153A">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În acest sens, în vederea cuprinderii banilor în buget, Ministerul Finanțelor Public a emis în 2012 o instrucțiune privind modul de cuprindere a sumelor aferente implementării proiectelor finanțate în cadrul Programului de cooperare elvețiano-român, în cadrul asistenței aferente fondurilor tematice, de către beneficiarii instituții publice. Dat fiind faptul că această abordare a fost schimbată în cazul unui proiect, beneficiarul instituție publică având obligativitatea asigurării prefinanțării cheltuielilor și derulării procedurilor de achiziție, este necesară reglementarea acestei situații și stabilirea fluxurilor financiare aferente. În cazul nereglementării acestei situații există riscul pierderii finanțării nerambursabile acordate de către partea elvețiană. Pentru a evita pierderea finanțării nerambursabile, este necesară modificarea și completarea OUG 62/2011 în sensul includerii fluxurilor pentru fondurile tematice.</w:t>
            </w:r>
          </w:p>
          <w:p w:rsidR="00401ADC" w:rsidRPr="00CF27C9" w:rsidRDefault="00401ADC">
            <w:pPr>
              <w:spacing w:after="0" w:line="240" w:lineRule="auto"/>
              <w:ind w:right="144"/>
              <w:jc w:val="both"/>
              <w:rPr>
                <w:rFonts w:ascii="Times New Roman" w:hAnsi="Times New Roman" w:cs="Times New Roman"/>
                <w:b/>
                <w:bCs/>
                <w:iCs/>
                <w:color w:val="000000" w:themeColor="text1"/>
                <w:sz w:val="24"/>
                <w:szCs w:val="24"/>
                <w:lang w:eastAsia="ro-RO"/>
              </w:rPr>
            </w:pPr>
          </w:p>
        </w:tc>
      </w:tr>
      <w:tr w:rsidR="00CF27C9" w:rsidRPr="00CF27C9" w:rsidTr="00FF5231">
        <w:trPr>
          <w:trHeight w:val="680"/>
        </w:trPr>
        <w:tc>
          <w:tcPr>
            <w:tcW w:w="2821"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both"/>
              <w:rPr>
                <w:rFonts w:ascii="Times New Roman" w:eastAsia="Arial" w:hAnsi="Times New Roman" w:cs="Times New Roman"/>
                <w:color w:val="000000" w:themeColor="text1"/>
                <w:sz w:val="24"/>
                <w:szCs w:val="24"/>
              </w:rPr>
            </w:pPr>
            <w:r w:rsidRPr="00CF27C9">
              <w:rPr>
                <w:rFonts w:ascii="Times New Roman" w:hAnsi="Times New Roman" w:cs="Times New Roman"/>
                <w:b/>
                <w:bCs/>
                <w:color w:val="000000" w:themeColor="text1"/>
                <w:sz w:val="24"/>
                <w:szCs w:val="24"/>
                <w:lang w:eastAsia="ro-RO"/>
              </w:rPr>
              <w:lastRenderedPageBreak/>
              <w:t>1</w:t>
            </w:r>
            <w:r w:rsidRPr="00CF27C9">
              <w:rPr>
                <w:rFonts w:ascii="Times New Roman" w:hAnsi="Times New Roman" w:cs="Times New Roman"/>
                <w:b/>
                <w:bCs/>
                <w:color w:val="000000" w:themeColor="text1"/>
                <w:sz w:val="24"/>
                <w:szCs w:val="24"/>
                <w:vertAlign w:val="superscript"/>
                <w:lang w:eastAsia="ro-RO"/>
              </w:rPr>
              <w:t>1</w:t>
            </w:r>
            <w:r w:rsidRPr="00CF27C9">
              <w:rPr>
                <w:rFonts w:ascii="Times New Roman" w:hAnsi="Times New Roman" w:cs="Times New Roman"/>
                <w:b/>
                <w:bCs/>
                <w:color w:val="000000" w:themeColor="text1"/>
                <w:sz w:val="24"/>
                <w:szCs w:val="24"/>
                <w:lang w:eastAsia="ro-RO"/>
              </w:rPr>
              <w:t>. În cazul proiectelor de acte normative care transpun legislație comunitară sau creează cadrul pentru aplicarea directă a acesteia, se vor specifica doar actele comunitare în cauză, însoțite de elementele de identificare ale acestora</w:t>
            </w:r>
          </w:p>
        </w:tc>
        <w:tc>
          <w:tcPr>
            <w:tcW w:w="7994" w:type="dxa"/>
            <w:gridSpan w:val="10"/>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uppressAutoHyphens w:val="0"/>
              <w:spacing w:after="0" w:line="240" w:lineRule="auto"/>
              <w:jc w:val="both"/>
              <w:rPr>
                <w:color w:val="000000" w:themeColor="text1"/>
              </w:rPr>
            </w:pPr>
            <w:r w:rsidRPr="00CF27C9">
              <w:rPr>
                <w:rFonts w:ascii="Times New Roman" w:eastAsia="Arial" w:hAnsi="Times New Roman" w:cs="Times New Roman"/>
                <w:color w:val="000000" w:themeColor="text1"/>
                <w:sz w:val="24"/>
                <w:szCs w:val="24"/>
              </w:rPr>
              <w:t>Directiva 2003/96/CE a Consiliului din 27 octombrie 2003 privind restructurarea cadrului comunitar de impozitare a produselor energetice și a electricității.</w:t>
            </w:r>
          </w:p>
        </w:tc>
      </w:tr>
      <w:tr w:rsidR="00CF27C9" w:rsidRPr="00CF27C9" w:rsidTr="00FF5231">
        <w:trPr>
          <w:trHeight w:val="445"/>
        </w:trPr>
        <w:tc>
          <w:tcPr>
            <w:tcW w:w="2821"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both"/>
              <w:rPr>
                <w:rFonts w:ascii="Times New Roman" w:eastAsia="Arial"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2. Schimbări preconizate</w:t>
            </w:r>
          </w:p>
        </w:tc>
        <w:tc>
          <w:tcPr>
            <w:tcW w:w="7994" w:type="dxa"/>
            <w:gridSpan w:val="10"/>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3A3B90" w:rsidRPr="00CF27C9" w:rsidRDefault="003A3B90" w:rsidP="001522F0">
            <w:pPr>
              <w:tabs>
                <w:tab w:val="left" w:pos="7480"/>
              </w:tabs>
              <w:suppressAutoHyphens w:val="0"/>
              <w:spacing w:after="0" w:line="240" w:lineRule="auto"/>
              <w:ind w:left="74" w:right="190"/>
              <w:jc w:val="both"/>
              <w:rPr>
                <w:rFonts w:ascii="Times New Roman" w:hAnsi="Times New Roman" w:cs="Times New Roman"/>
                <w:b/>
                <w:iCs/>
                <w:color w:val="000000" w:themeColor="text1"/>
                <w:sz w:val="24"/>
                <w:szCs w:val="24"/>
                <w:lang w:eastAsia="ro-RO"/>
              </w:rPr>
            </w:pPr>
            <w:r w:rsidRPr="00CF27C9">
              <w:rPr>
                <w:rFonts w:ascii="Times New Roman" w:eastAsia="Arial" w:hAnsi="Times New Roman" w:cs="Times New Roman"/>
                <w:b/>
                <w:bCs/>
                <w:color w:val="000000" w:themeColor="text1"/>
                <w:sz w:val="24"/>
                <w:szCs w:val="24"/>
                <w:lang w:eastAsia="ro-RO"/>
              </w:rPr>
              <w:t>Legea nr. 227/2015 privind Codul fiscal,</w:t>
            </w:r>
            <w:r w:rsidRPr="00CF27C9">
              <w:rPr>
                <w:rFonts w:ascii="Times New Roman" w:hAnsi="Times New Roman" w:cs="Times New Roman"/>
                <w:b/>
                <w:iCs/>
                <w:color w:val="000000" w:themeColor="text1"/>
                <w:sz w:val="24"/>
                <w:szCs w:val="24"/>
                <w:lang w:eastAsia="ro-RO"/>
              </w:rPr>
              <w:t xml:space="preserve"> cu modificările și completările ulterioare</w:t>
            </w:r>
          </w:p>
          <w:p w:rsidR="00401ADC" w:rsidRPr="00CF27C9" w:rsidRDefault="00401ADC">
            <w:pPr>
              <w:suppressAutoHyphens w:val="0"/>
              <w:spacing w:after="0" w:line="240" w:lineRule="auto"/>
              <w:ind w:left="74" w:right="190"/>
              <w:jc w:val="both"/>
              <w:rPr>
                <w:rFonts w:ascii="Times New Roman" w:hAnsi="Times New Roman" w:cs="Times New Roman"/>
                <w:b/>
                <w:iCs/>
                <w:color w:val="000000" w:themeColor="text1"/>
                <w:sz w:val="24"/>
                <w:szCs w:val="24"/>
                <w:lang w:eastAsia="ro-RO"/>
              </w:rPr>
            </w:pPr>
          </w:p>
          <w:p w:rsidR="00401ADC" w:rsidRPr="00CF27C9" w:rsidRDefault="00A63A27">
            <w:pPr>
              <w:numPr>
                <w:ilvl w:val="0"/>
                <w:numId w:val="3"/>
              </w:numPr>
              <w:suppressAutoHyphens w:val="0"/>
              <w:spacing w:after="0" w:line="240" w:lineRule="auto"/>
              <w:ind w:right="190"/>
              <w:jc w:val="both"/>
              <w:rPr>
                <w:rFonts w:ascii="Times New Roman" w:hAnsi="Times New Roman" w:cs="Times New Roman"/>
                <w:b/>
                <w:color w:val="000000" w:themeColor="text1"/>
                <w:sz w:val="24"/>
                <w:szCs w:val="24"/>
              </w:rPr>
            </w:pPr>
            <w:r w:rsidRPr="00CF27C9">
              <w:rPr>
                <w:rFonts w:ascii="Times New Roman" w:hAnsi="Times New Roman" w:cs="Times New Roman"/>
                <w:b/>
                <w:color w:val="000000" w:themeColor="text1"/>
                <w:sz w:val="24"/>
                <w:szCs w:val="24"/>
              </w:rPr>
              <w:t>Titlul II  - Impozitul pe profit</w:t>
            </w:r>
          </w:p>
          <w:p w:rsidR="00401ADC" w:rsidRPr="00CF27C9" w:rsidRDefault="00401ADC">
            <w:pPr>
              <w:suppressAutoHyphens w:val="0"/>
              <w:spacing w:after="0" w:line="240" w:lineRule="auto"/>
              <w:ind w:left="381" w:right="190"/>
              <w:jc w:val="both"/>
              <w:rPr>
                <w:rFonts w:ascii="Times New Roman" w:hAnsi="Times New Roman" w:cs="Times New Roman"/>
                <w:b/>
                <w:color w:val="000000" w:themeColor="text1"/>
                <w:sz w:val="12"/>
                <w:szCs w:val="12"/>
              </w:rPr>
            </w:pPr>
          </w:p>
          <w:p w:rsidR="00401ADC" w:rsidRPr="00CF27C9" w:rsidRDefault="00A63A27" w:rsidP="009D1ACE">
            <w:pPr>
              <w:tabs>
                <w:tab w:val="left" w:pos="21"/>
              </w:tabs>
              <w:spacing w:after="0" w:line="240" w:lineRule="auto"/>
              <w:ind w:left="21" w:right="-27"/>
              <w:jc w:val="both"/>
              <w:rPr>
                <w:rFonts w:ascii="Times New Roman" w:hAnsi="Times New Roman" w:cs="Times New Roman"/>
                <w:color w:val="000000" w:themeColor="text1"/>
                <w:sz w:val="12"/>
                <w:szCs w:val="12"/>
                <w:shd w:val="clear" w:color="auto" w:fill="FFFF00"/>
              </w:rPr>
            </w:pPr>
            <w:r w:rsidRPr="00CF27C9">
              <w:rPr>
                <w:rFonts w:ascii="Times New Roman" w:hAnsi="Times New Roman" w:cs="Times New Roman"/>
                <w:b/>
                <w:color w:val="000000" w:themeColor="text1"/>
                <w:sz w:val="24"/>
                <w:szCs w:val="24"/>
              </w:rPr>
              <w:t>1</w:t>
            </w:r>
            <w:r w:rsidRPr="00CF27C9">
              <w:rPr>
                <w:rFonts w:ascii="Times New Roman" w:hAnsi="Times New Roman" w:cs="Times New Roman"/>
                <w:color w:val="000000" w:themeColor="text1"/>
                <w:sz w:val="24"/>
                <w:szCs w:val="24"/>
              </w:rPr>
              <w:t>. Se introduc prevederi potrivit cărora, în cazul înlocuirii aparatelor de marcat electronice, pentru respectarea cerințelor impuse de lege, să nu se aplice sancțiunea prevăzută la art. 22 alin. (8) din Codul fiscal, respectiv recalcularea impozitului pe profit și perceperea de creanțe fiscale accesorii, având în vedere dispozițiile art. II din Ordonanța de urgență a Guvernului nr. 91/2014 pentru modificarea și completarea Ordonanței de urgență a Guvernului nr. 28/1999, cu modificările și completările ulterioare, potrivit cărora operatorii urmează să schimbe în mod obligatoriu aparatele de marcat electronice fiscale din dotare, indiferent de data achiziției acestora.</w:t>
            </w:r>
          </w:p>
          <w:p w:rsidR="00401ADC" w:rsidRPr="00CF27C9" w:rsidRDefault="00A63A27" w:rsidP="009D1ACE">
            <w:pPr>
              <w:spacing w:after="0" w:line="240" w:lineRule="auto"/>
              <w:ind w:left="21"/>
              <w:jc w:val="both"/>
              <w:rPr>
                <w:rFonts w:ascii="Times New Roman" w:hAnsi="Times New Roman" w:cs="Times New Roman"/>
                <w:b/>
                <w:color w:val="000000" w:themeColor="text1"/>
                <w:sz w:val="24"/>
                <w:szCs w:val="24"/>
              </w:rPr>
            </w:pPr>
            <w:r w:rsidRPr="00CF27C9">
              <w:rPr>
                <w:rFonts w:ascii="Times New Roman" w:hAnsi="Times New Roman" w:cs="Times New Roman"/>
                <w:b/>
                <w:color w:val="000000" w:themeColor="text1"/>
                <w:sz w:val="24"/>
                <w:szCs w:val="24"/>
              </w:rPr>
              <w:t>2</w:t>
            </w:r>
            <w:r w:rsidRPr="00CF27C9">
              <w:rPr>
                <w:rFonts w:ascii="Times New Roman" w:hAnsi="Times New Roman" w:cs="Times New Roman"/>
                <w:color w:val="000000" w:themeColor="text1"/>
                <w:sz w:val="24"/>
                <w:szCs w:val="24"/>
              </w:rPr>
              <w:t>. Se instituie obligația contribuabililor care efectuează sponsorizări/acte de mecenat, respectiv acordă burse private și care scad aceste sume din impozitul pe profit, de a declara beneficiarii sumelor respective, măsură care are ca scop  monitorizarea și controlul sumelor alocate de contribuabili din impozitul pe profit, astfel încât să se asigure cheltuirea fondurilor primite de beneficiari numai în scopul pentru care aceștia s-au înființat sau în scopul pentru care au fost alocate, după caz.</w:t>
            </w:r>
          </w:p>
          <w:p w:rsidR="00401ADC" w:rsidRPr="00CF27C9" w:rsidRDefault="00401ADC">
            <w:pPr>
              <w:suppressAutoHyphens w:val="0"/>
              <w:spacing w:after="0" w:line="240" w:lineRule="auto"/>
              <w:ind w:left="74" w:right="190" w:firstLine="89"/>
              <w:jc w:val="both"/>
              <w:rPr>
                <w:rFonts w:ascii="Times New Roman" w:hAnsi="Times New Roman" w:cs="Times New Roman"/>
                <w:b/>
                <w:color w:val="000000" w:themeColor="text1"/>
                <w:sz w:val="24"/>
                <w:szCs w:val="24"/>
              </w:rPr>
            </w:pPr>
          </w:p>
          <w:p w:rsidR="00401ADC" w:rsidRPr="00CF27C9" w:rsidRDefault="00A63A27">
            <w:pPr>
              <w:numPr>
                <w:ilvl w:val="0"/>
                <w:numId w:val="3"/>
              </w:numPr>
              <w:suppressAutoHyphens w:val="0"/>
              <w:spacing w:after="0" w:line="240" w:lineRule="auto"/>
              <w:ind w:right="190"/>
              <w:jc w:val="both"/>
              <w:rPr>
                <w:rFonts w:ascii="Times New Roman" w:hAnsi="Times New Roman" w:cs="Times New Roman"/>
                <w:b/>
                <w:bCs/>
                <w:color w:val="000000" w:themeColor="text1"/>
                <w:sz w:val="24"/>
                <w:szCs w:val="24"/>
              </w:rPr>
            </w:pPr>
            <w:r w:rsidRPr="00CF27C9">
              <w:rPr>
                <w:rFonts w:ascii="Times New Roman" w:hAnsi="Times New Roman" w:cs="Times New Roman"/>
                <w:b/>
                <w:color w:val="000000" w:themeColor="text1"/>
                <w:sz w:val="24"/>
                <w:szCs w:val="24"/>
              </w:rPr>
              <w:t>Titlul</w:t>
            </w:r>
            <w:r w:rsidRPr="00CF27C9">
              <w:rPr>
                <w:rFonts w:ascii="Times New Roman" w:hAnsi="Times New Roman" w:cs="Times New Roman"/>
                <w:bCs/>
                <w:color w:val="000000" w:themeColor="text1"/>
                <w:sz w:val="24"/>
                <w:szCs w:val="24"/>
              </w:rPr>
              <w:t xml:space="preserve"> </w:t>
            </w:r>
            <w:r w:rsidRPr="00CF27C9">
              <w:rPr>
                <w:rFonts w:ascii="Times New Roman" w:hAnsi="Times New Roman" w:cs="Times New Roman"/>
                <w:b/>
                <w:bCs/>
                <w:color w:val="000000" w:themeColor="text1"/>
                <w:sz w:val="24"/>
                <w:szCs w:val="24"/>
              </w:rPr>
              <w:t>III – Impozitul pe veniturile microîntreprinderilor</w:t>
            </w:r>
          </w:p>
          <w:p w:rsidR="00401ADC" w:rsidRPr="00CF27C9" w:rsidRDefault="00401ADC">
            <w:pPr>
              <w:suppressAutoHyphens w:val="0"/>
              <w:spacing w:after="0" w:line="240" w:lineRule="auto"/>
              <w:ind w:left="381" w:right="190"/>
              <w:jc w:val="both"/>
              <w:rPr>
                <w:rFonts w:ascii="Times New Roman" w:hAnsi="Times New Roman" w:cs="Times New Roman"/>
                <w:b/>
                <w:bCs/>
                <w:color w:val="000000" w:themeColor="text1"/>
                <w:sz w:val="12"/>
                <w:szCs w:val="12"/>
              </w:rPr>
            </w:pPr>
          </w:p>
          <w:p w:rsidR="00401ADC" w:rsidRPr="00CF27C9" w:rsidRDefault="00A63A27">
            <w:pPr>
              <w:spacing w:after="0" w:line="240" w:lineRule="auto"/>
              <w:ind w:firstLine="21"/>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În domeniul impozitului pe veniturile microîntreprinderilor se propune:</w:t>
            </w:r>
          </w:p>
          <w:p w:rsidR="00401ADC" w:rsidRPr="00CF27C9" w:rsidRDefault="00A63A27">
            <w:pPr>
              <w:tabs>
                <w:tab w:val="left" w:pos="21"/>
              </w:tabs>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ab/>
            </w:r>
            <w:r w:rsidRPr="00CF27C9">
              <w:rPr>
                <w:rFonts w:ascii="Times New Roman" w:hAnsi="Times New Roman" w:cs="Times New Roman"/>
                <w:b/>
                <w:color w:val="000000" w:themeColor="text1"/>
                <w:sz w:val="24"/>
                <w:szCs w:val="24"/>
              </w:rPr>
              <w:t>1.</w:t>
            </w:r>
            <w:r w:rsidR="00D673DE" w:rsidRPr="00CF27C9">
              <w:rPr>
                <w:rFonts w:ascii="Times New Roman" w:hAnsi="Times New Roman" w:cs="Times New Roman"/>
                <w:color w:val="000000" w:themeColor="text1"/>
                <w:sz w:val="24"/>
                <w:szCs w:val="24"/>
              </w:rPr>
              <w:t xml:space="preserve"> I</w:t>
            </w:r>
            <w:r w:rsidRPr="00CF27C9">
              <w:rPr>
                <w:rFonts w:ascii="Times New Roman" w:hAnsi="Times New Roman" w:cs="Times New Roman"/>
                <w:color w:val="000000" w:themeColor="text1"/>
                <w:sz w:val="24"/>
                <w:szCs w:val="24"/>
              </w:rPr>
              <w:t>nstituirea unei reguli fiscale, potrivit căreia microîntreprinderile pot să opteze pentru plata impozitului pe profit, cu îndeplinirea a două condiții:</w:t>
            </w:r>
          </w:p>
          <w:p w:rsidR="00401ADC" w:rsidRPr="00CF27C9" w:rsidRDefault="00A63A27">
            <w:pPr>
              <w:tabs>
                <w:tab w:val="left" w:pos="446"/>
              </w:tabs>
              <w:spacing w:after="0" w:line="240" w:lineRule="auto"/>
              <w:ind w:right="52"/>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ab/>
              <w:t xml:space="preserve">- au un nivel de capital social minim de 45.000 lei (aprox. 10.000 euro) și </w:t>
            </w:r>
          </w:p>
          <w:p w:rsidR="00401ADC" w:rsidRPr="00CF27C9" w:rsidRDefault="00A63A27">
            <w:pPr>
              <w:tabs>
                <w:tab w:val="left" w:pos="465"/>
              </w:tabs>
              <w:spacing w:after="0" w:line="240" w:lineRule="auto"/>
              <w:ind w:right="52"/>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       - au cel puțin 2 salariați.</w:t>
            </w:r>
          </w:p>
          <w:p w:rsidR="00401ADC" w:rsidRPr="00CF27C9" w:rsidRDefault="00A63A27" w:rsidP="0083610A">
            <w:pPr>
              <w:tabs>
                <w:tab w:val="left" w:pos="465"/>
              </w:tabs>
              <w:spacing w:after="0" w:line="240" w:lineRule="auto"/>
              <w:ind w:right="-27"/>
              <w:jc w:val="both"/>
              <w:rPr>
                <w:color w:val="000000" w:themeColor="text1"/>
              </w:rPr>
            </w:pPr>
            <w:r w:rsidRPr="00CF27C9">
              <w:rPr>
                <w:rFonts w:ascii="Times New Roman" w:hAnsi="Times New Roman" w:cs="Times New Roman"/>
                <w:color w:val="000000" w:themeColor="text1"/>
                <w:sz w:val="24"/>
                <w:szCs w:val="24"/>
                <w:shd w:val="clear" w:color="auto" w:fill="FFFFFF" w:themeFill="background1"/>
              </w:rPr>
              <w:t xml:space="preserve">În cazul în care microîntreprinderile optează pentru aplicarea prevederilor titlului II „Impozitul pe profit”, acestea au obligația de a respecta </w:t>
            </w:r>
            <w:r w:rsidR="00ED07FF" w:rsidRPr="00CF27C9">
              <w:rPr>
                <w:rFonts w:ascii="Times New Roman" w:hAnsi="Times New Roman" w:cs="Times New Roman"/>
                <w:color w:val="000000" w:themeColor="text1"/>
                <w:sz w:val="24"/>
                <w:szCs w:val="24"/>
                <w:shd w:val="clear" w:color="auto" w:fill="FFFFFF" w:themeFill="background1"/>
              </w:rPr>
              <w:t xml:space="preserve">în continuare </w:t>
            </w:r>
            <w:r w:rsidRPr="00CF27C9">
              <w:rPr>
                <w:rFonts w:ascii="Times New Roman" w:hAnsi="Times New Roman" w:cs="Times New Roman"/>
                <w:color w:val="000000" w:themeColor="text1"/>
                <w:sz w:val="24"/>
                <w:szCs w:val="24"/>
                <w:shd w:val="clear" w:color="auto" w:fill="FFFFFF" w:themeFill="background1"/>
              </w:rPr>
              <w:t>condițiile respective și în perioada în care este plătitor de impozit pe profit. În acest context,</w:t>
            </w:r>
            <w:r w:rsidRPr="00CF27C9">
              <w:rPr>
                <w:rFonts w:ascii="Times New Roman" w:hAnsi="Times New Roman" w:cs="Times New Roman"/>
                <w:color w:val="000000" w:themeColor="text1"/>
                <w:sz w:val="24"/>
                <w:szCs w:val="24"/>
                <w:shd w:val="clear" w:color="auto" w:fill="FFFF00"/>
              </w:rPr>
              <w:t xml:space="preserve"> </w:t>
            </w:r>
            <w:r w:rsidRPr="00CF27C9">
              <w:rPr>
                <w:rFonts w:ascii="Times New Roman" w:hAnsi="Times New Roman" w:cs="Times New Roman"/>
                <w:color w:val="000000" w:themeColor="text1"/>
                <w:sz w:val="24"/>
                <w:szCs w:val="24"/>
              </w:rPr>
              <w:t>sunt stabilite și reguli în cazul în care  numărul de salariați variază în cursul anului, în sensul reîndeplinirii condiției de 2 salariați în termen de 60 de zile,</w:t>
            </w:r>
            <w:r w:rsidR="00D82D89" w:rsidRPr="00CF27C9">
              <w:rPr>
                <w:rFonts w:ascii="Times New Roman" w:hAnsi="Times New Roman" w:cs="Times New Roman"/>
                <w:color w:val="000000" w:themeColor="text1"/>
                <w:sz w:val="24"/>
                <w:szCs w:val="24"/>
              </w:rPr>
              <w:t xml:space="preserve"> termen care se prelungește și în anul fiscal următor.</w:t>
            </w:r>
          </w:p>
          <w:p w:rsidR="00401ADC" w:rsidRPr="00CF27C9" w:rsidRDefault="00A63A27">
            <w:pPr>
              <w:spacing w:after="0" w:line="240" w:lineRule="auto"/>
              <w:jc w:val="both"/>
              <w:rPr>
                <w:rFonts w:ascii="Times New Roman" w:hAnsi="Times New Roman" w:cs="Times New Roman"/>
                <w:color w:val="000000" w:themeColor="text1"/>
                <w:sz w:val="24"/>
                <w:szCs w:val="24"/>
                <w:shd w:val="clear" w:color="auto" w:fill="FFFF00"/>
              </w:rPr>
            </w:pPr>
            <w:r w:rsidRPr="00CF27C9">
              <w:rPr>
                <w:rFonts w:ascii="Times New Roman" w:hAnsi="Times New Roman" w:cs="Times New Roman"/>
                <w:color w:val="000000" w:themeColor="text1"/>
                <w:sz w:val="24"/>
                <w:szCs w:val="24"/>
              </w:rPr>
              <w:t>Pentru clarificarea statutului salariatului în funcție de care se analizează îndeplinirea condiției pentru efectuarea opțiunii este necesară și modificarea reglementărilor care definesc termenul „salariat”.</w:t>
            </w:r>
          </w:p>
          <w:p w:rsidR="007535DA" w:rsidRPr="00CF27C9" w:rsidRDefault="00A63A27" w:rsidP="00924335">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color w:val="000000" w:themeColor="text1"/>
                <w:sz w:val="24"/>
                <w:szCs w:val="24"/>
              </w:rPr>
              <w:t>2.</w:t>
            </w:r>
            <w:r w:rsidRPr="00CF27C9">
              <w:rPr>
                <w:rFonts w:ascii="Times New Roman" w:hAnsi="Times New Roman" w:cs="Times New Roman"/>
                <w:color w:val="000000" w:themeColor="text1"/>
                <w:sz w:val="24"/>
                <w:szCs w:val="24"/>
              </w:rPr>
              <w:t xml:space="preserve"> </w:t>
            </w:r>
            <w:r w:rsidR="007535DA" w:rsidRPr="00CF27C9">
              <w:rPr>
                <w:rFonts w:ascii="Times New Roman" w:hAnsi="Times New Roman" w:cs="Times New Roman"/>
                <w:color w:val="000000" w:themeColor="text1"/>
                <w:sz w:val="24"/>
                <w:szCs w:val="24"/>
              </w:rPr>
              <w:t xml:space="preserve">Scăderea din impozitul datorat de către microîntreprinderi a cheltuielilor cu sponsorizarea, care au ca scop susținerea entităților nonprofit și a unităților de cult, care sunt furnizori de servicii sociale acreditați cu cel puțin un serviciu </w:t>
            </w:r>
            <w:r w:rsidR="002342E0" w:rsidRPr="00CF27C9">
              <w:rPr>
                <w:rFonts w:ascii="Times New Roman" w:hAnsi="Times New Roman" w:cs="Times New Roman"/>
                <w:color w:val="000000" w:themeColor="text1"/>
                <w:sz w:val="24"/>
                <w:szCs w:val="24"/>
              </w:rPr>
              <w:t xml:space="preserve">social licențiat, potrivit legii, până la nivelul valorii </w:t>
            </w:r>
            <w:r w:rsidR="00225762" w:rsidRPr="00CF27C9">
              <w:rPr>
                <w:rFonts w:ascii="Times New Roman" w:hAnsi="Times New Roman" w:cs="Times New Roman"/>
                <w:color w:val="000000" w:themeColor="text1"/>
                <w:sz w:val="24"/>
                <w:szCs w:val="24"/>
              </w:rPr>
              <w:t>reprezentând 20% din impozitul datorat. Sumele care nu sunt scăzute din impozitul pe veniturile microîntreprinderilor datorat, se reportează în următoarele 28 de trimestre consecutive.</w:t>
            </w:r>
          </w:p>
          <w:p w:rsidR="00797163" w:rsidRPr="00CF27C9" w:rsidRDefault="00797163" w:rsidP="00924335">
            <w:pPr>
              <w:spacing w:after="0" w:line="240" w:lineRule="auto"/>
              <w:jc w:val="both"/>
              <w:rPr>
                <w:rFonts w:ascii="Times New Roman" w:hAnsi="Times New Roman" w:cs="Times New Roman"/>
                <w:color w:val="000000" w:themeColor="text1"/>
                <w:sz w:val="24"/>
                <w:szCs w:val="24"/>
              </w:rPr>
            </w:pPr>
          </w:p>
          <w:p w:rsidR="00797163" w:rsidRPr="00CF27C9" w:rsidRDefault="00797163" w:rsidP="00797163">
            <w:pPr>
              <w:spacing w:after="0" w:line="360" w:lineRule="auto"/>
              <w:jc w:val="both"/>
              <w:rPr>
                <w:rFonts w:ascii="Times New Roman" w:hAnsi="Times New Roman" w:cs="Times New Roman"/>
                <w:b/>
                <w:bCs/>
                <w:color w:val="000000" w:themeColor="text1"/>
                <w:sz w:val="24"/>
                <w:szCs w:val="24"/>
                <w:u w:val="single"/>
              </w:rPr>
            </w:pPr>
            <w:r w:rsidRPr="00CF27C9">
              <w:rPr>
                <w:rFonts w:ascii="Times New Roman" w:hAnsi="Times New Roman" w:cs="Times New Roman"/>
                <w:b/>
                <w:iCs/>
                <w:color w:val="000000" w:themeColor="text1"/>
                <w:sz w:val="24"/>
                <w:szCs w:val="24"/>
              </w:rPr>
              <w:t>C.</w:t>
            </w:r>
            <w:r w:rsidRPr="00CF27C9">
              <w:rPr>
                <w:rFonts w:ascii="Times New Roman" w:hAnsi="Times New Roman" w:cs="Times New Roman"/>
                <w:iCs/>
                <w:color w:val="000000" w:themeColor="text1"/>
                <w:sz w:val="24"/>
                <w:szCs w:val="24"/>
              </w:rPr>
              <w:t xml:space="preserve"> </w:t>
            </w:r>
            <w:r w:rsidRPr="00CF27C9">
              <w:rPr>
                <w:rFonts w:ascii="Times New Roman" w:eastAsia="Arial" w:hAnsi="Times New Roman" w:cs="Times New Roman"/>
                <w:b/>
                <w:color w:val="000000" w:themeColor="text1"/>
                <w:sz w:val="24"/>
                <w:szCs w:val="24"/>
              </w:rPr>
              <w:t>Titlul IV – Impozitul pe venit</w:t>
            </w:r>
          </w:p>
          <w:p w:rsidR="00797163" w:rsidRPr="00CF27C9" w:rsidRDefault="00797163" w:rsidP="00797163">
            <w:pPr>
              <w:suppressAutoHyphens w:val="0"/>
              <w:autoSpaceDE w:val="0"/>
              <w:autoSpaceDN w:val="0"/>
              <w:adjustRightInd w:val="0"/>
              <w:spacing w:after="0" w:line="240" w:lineRule="auto"/>
              <w:jc w:val="both"/>
              <w:rPr>
                <w:rFonts w:ascii="Times New Roman" w:hAnsi="Times New Roman" w:cs="Times New Roman"/>
                <w:bCs/>
                <w:color w:val="000000" w:themeColor="text1"/>
                <w:sz w:val="24"/>
                <w:szCs w:val="24"/>
              </w:rPr>
            </w:pPr>
            <w:r w:rsidRPr="00CF27C9">
              <w:rPr>
                <w:rFonts w:ascii="Times New Roman" w:hAnsi="Times New Roman" w:cs="Times New Roman"/>
                <w:b/>
                <w:bCs/>
                <w:color w:val="000000" w:themeColor="text1"/>
                <w:sz w:val="24"/>
                <w:szCs w:val="24"/>
              </w:rPr>
              <w:t>1.</w:t>
            </w:r>
            <w:r w:rsidRPr="00CF27C9">
              <w:rPr>
                <w:rFonts w:ascii="Times New Roman" w:hAnsi="Times New Roman" w:cs="Times New Roman"/>
                <w:bCs/>
                <w:color w:val="000000" w:themeColor="text1"/>
                <w:sz w:val="24"/>
                <w:szCs w:val="24"/>
              </w:rPr>
              <w:t xml:space="preserve"> Contribuabilii care realizează venituri în baza contractelor de activitate sportivă încheiate conform Legii nr. 69/2000, Legea educaţiei fizice şi sportului, cu modificările și completările ulterioare, datorează impozit pe venit, impozitul fiind final.</w:t>
            </w:r>
          </w:p>
          <w:p w:rsidR="00797163" w:rsidRPr="00CF27C9" w:rsidRDefault="00797163" w:rsidP="00797163">
            <w:pPr>
              <w:suppressAutoHyphens w:val="0"/>
              <w:autoSpaceDE w:val="0"/>
              <w:autoSpaceDN w:val="0"/>
              <w:adjustRightInd w:val="0"/>
              <w:spacing w:after="0" w:line="240" w:lineRule="auto"/>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Plătitorii de venituri, persoane juridice sau alte entităţi care au obligaţia de a conduce evidenţă contabilă, au și  obligaţia de a calcula, de a reţine, de a plăti și de a declara impozitul corespunzător sumelor plătite în baza contractelor de activitate sportivă.</w:t>
            </w:r>
          </w:p>
          <w:p w:rsidR="00797163" w:rsidRPr="00CF27C9" w:rsidRDefault="00797163" w:rsidP="00797163">
            <w:pPr>
              <w:suppressAutoHyphens w:val="0"/>
              <w:autoSpaceDE w:val="0"/>
              <w:autoSpaceDN w:val="0"/>
              <w:adjustRightInd w:val="0"/>
              <w:spacing w:after="0" w:line="240" w:lineRule="auto"/>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Impozitul se calculează prin aplicarea cotei de 10% asupra venitului brut și se reține la sursă, de către plătitorii de venituri, la momentul plății.</w:t>
            </w:r>
          </w:p>
          <w:p w:rsidR="00797163" w:rsidRPr="00CF27C9" w:rsidRDefault="00797163" w:rsidP="00797163">
            <w:pPr>
              <w:suppressAutoHyphens w:val="0"/>
              <w:autoSpaceDE w:val="0"/>
              <w:autoSpaceDN w:val="0"/>
              <w:adjustRightInd w:val="0"/>
              <w:spacing w:after="0" w:line="240" w:lineRule="auto"/>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Plătitorii de venituri precizați anterior (persoane juridice sau alte entităţi) nu au obligaţia calculării, reţinerii la sursă şi plăţii impozitului din veniturile plătite dacă efectuează plăţi către asocierile fără personalitate juridică, precum şi către entităţi cu personalitate juridică, care organizează şi conduc contabilitate proprie, potrivit legii, pentru care plata impozitului pe venit se face de către fiecare asociat, pentru venitul său propriu.</w:t>
            </w:r>
          </w:p>
          <w:p w:rsidR="000F5099" w:rsidRDefault="00797163" w:rsidP="00944680">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CF27C9">
              <w:rPr>
                <w:rFonts w:ascii="Times New Roman" w:hAnsi="Times New Roman" w:cs="Times New Roman"/>
                <w:b/>
                <w:bCs/>
                <w:color w:val="000000" w:themeColor="text1"/>
                <w:sz w:val="24"/>
                <w:szCs w:val="24"/>
              </w:rPr>
              <w:t>2.</w:t>
            </w:r>
            <w:r w:rsidRPr="00CF27C9">
              <w:rPr>
                <w:rFonts w:ascii="Times New Roman" w:hAnsi="Times New Roman" w:cs="Times New Roman"/>
                <w:bCs/>
                <w:color w:val="000000" w:themeColor="text1"/>
                <w:sz w:val="24"/>
                <w:szCs w:val="24"/>
              </w:rPr>
              <w:t xml:space="preserve"> </w:t>
            </w:r>
            <w:r w:rsidRPr="00CF27C9">
              <w:rPr>
                <w:rFonts w:ascii="Times New Roman" w:eastAsiaTheme="minorHAnsi" w:hAnsi="Times New Roman" w:cs="Times New Roman"/>
                <w:color w:val="000000" w:themeColor="text1"/>
                <w:sz w:val="24"/>
                <w:szCs w:val="24"/>
                <w:lang w:eastAsia="en-US"/>
              </w:rPr>
              <w:t>Contribuabilii pot dispune asupra destinaţiei unei sume pentru susţinerea entităţilor non-profit care se înfiinţează şi funcţionează în condiţiile legii, unităţilor de cult, precum şi pentru acordarea de burse private, conform legii, sumă reprezentând până la 2% din impozitul datorat pe venitul din salarii și asimilate salariilor, din pensii, din venitul net anual impozabil, precum și câştigul net anual impozabil, din transferul titlurilor de valoare, din orice alte operaţiuni cu instrumente financiare, inclusiv instrumente financiare derivate, precum şi din transferul aurului financiar.</w:t>
            </w:r>
          </w:p>
          <w:p w:rsidR="00797163" w:rsidRPr="00CF27C9" w:rsidRDefault="00797163" w:rsidP="000F5099">
            <w:pPr>
              <w:suppressAutoHyphens w:val="0"/>
              <w:autoSpaceDE w:val="0"/>
              <w:spacing w:after="0" w:line="240" w:lineRule="auto"/>
              <w:jc w:val="both"/>
              <w:rPr>
                <w:rFonts w:ascii="Times New Roman" w:eastAsiaTheme="minorHAnsi" w:hAnsi="Times New Roman" w:cs="Times New Roman"/>
                <w:color w:val="000000" w:themeColor="text1"/>
                <w:sz w:val="24"/>
                <w:szCs w:val="24"/>
                <w:lang w:eastAsia="en-US"/>
              </w:rPr>
            </w:pPr>
            <w:r w:rsidRPr="00CF27C9">
              <w:rPr>
                <w:rFonts w:ascii="Times New Roman" w:eastAsiaTheme="minorHAnsi" w:hAnsi="Times New Roman" w:cs="Times New Roman"/>
                <w:color w:val="000000" w:themeColor="text1"/>
                <w:sz w:val="24"/>
                <w:szCs w:val="24"/>
                <w:lang w:eastAsia="en-US"/>
              </w:rPr>
              <w:t>În cazul entităţilor non-profit și  unităților de cult care sunt furnizori de servicii sociale acreditați cu cel puțin un serviciu social licențiat, în condițiile legii, cota ce poate fi distribuită este de 3,5%</w:t>
            </w:r>
            <w:r w:rsidRPr="00CF27C9">
              <w:rPr>
                <w:color w:val="000000" w:themeColor="text1"/>
              </w:rPr>
              <w:t xml:space="preserve"> </w:t>
            </w:r>
            <w:r w:rsidRPr="00CF27C9">
              <w:rPr>
                <w:rFonts w:ascii="Times New Roman" w:eastAsiaTheme="minorHAnsi" w:hAnsi="Times New Roman" w:cs="Times New Roman"/>
                <w:color w:val="000000" w:themeColor="text1"/>
                <w:sz w:val="24"/>
                <w:szCs w:val="24"/>
                <w:lang w:eastAsia="en-US"/>
              </w:rPr>
              <w:t xml:space="preserve">din impozitul pe venit datorat. </w:t>
            </w:r>
          </w:p>
          <w:p w:rsidR="00797163" w:rsidRPr="00CF27C9" w:rsidRDefault="001A79A9" w:rsidP="00797163">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b/>
                <w:color w:val="000000" w:themeColor="text1"/>
                <w:sz w:val="24"/>
                <w:szCs w:val="24"/>
                <w:lang w:eastAsia="en-US"/>
              </w:rPr>
              <w:t>3</w:t>
            </w:r>
            <w:r w:rsidR="00797163" w:rsidRPr="00CF27C9">
              <w:rPr>
                <w:rFonts w:ascii="Times New Roman" w:eastAsiaTheme="minorHAnsi" w:hAnsi="Times New Roman" w:cs="Times New Roman"/>
                <w:b/>
                <w:color w:val="000000" w:themeColor="text1"/>
                <w:sz w:val="24"/>
                <w:szCs w:val="24"/>
                <w:lang w:eastAsia="en-US"/>
              </w:rPr>
              <w:t>.</w:t>
            </w:r>
            <w:r w:rsidR="00797163" w:rsidRPr="00CF27C9">
              <w:rPr>
                <w:rFonts w:ascii="Times New Roman" w:eastAsiaTheme="minorHAnsi" w:hAnsi="Times New Roman" w:cs="Times New Roman"/>
                <w:color w:val="000000" w:themeColor="text1"/>
                <w:sz w:val="24"/>
                <w:szCs w:val="24"/>
                <w:lang w:eastAsia="en-US"/>
              </w:rPr>
              <w:t xml:space="preserve">  În cazul reducerii normelor de venit  în situația înregistrării de pierderi ca urmare a unor fenomene meteorologice nefavorabile ce pot fi asimilate dezastrelor naturale ca îngheţ, grindină, polei, ploaie abundentă, secetă şi inundaţii, precum şi a epizootiilor ce afectează peste 30% din suprafeţele destinate producţiei agricole vegetale/animalele deţinute, contribuabilul/asociatul desemnat are obligația să depună declarația unică privind impozitul pe venit și contribuțiile sociale datorate de persoanele fizice și să recalculeze venitul anual și impozitul anual, în termen de 30 de zile de la constatarea pagubelor, prin diminuarea normei de venit aferentă fiecărei categorii  de produse vegetale/categorii de animale  corespunzător cu procentul reprezentând  gradul de afectare stabilit potrivit procesului-verbal de constatare și evaluare a pagubelor. </w:t>
            </w:r>
          </w:p>
          <w:p w:rsidR="00D0137C" w:rsidRPr="00CF27C9" w:rsidRDefault="001A79A9" w:rsidP="00797163">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b/>
                <w:color w:val="000000" w:themeColor="text1"/>
                <w:sz w:val="24"/>
                <w:szCs w:val="24"/>
                <w:lang w:eastAsia="en-US"/>
              </w:rPr>
              <w:t>4</w:t>
            </w:r>
            <w:r w:rsidR="00797163" w:rsidRPr="00CF27C9">
              <w:rPr>
                <w:rFonts w:ascii="Times New Roman" w:eastAsiaTheme="minorHAnsi" w:hAnsi="Times New Roman" w:cs="Times New Roman"/>
                <w:b/>
                <w:color w:val="000000" w:themeColor="text1"/>
                <w:sz w:val="24"/>
                <w:szCs w:val="24"/>
                <w:lang w:eastAsia="en-US"/>
              </w:rPr>
              <w:t xml:space="preserve">. </w:t>
            </w:r>
            <w:r w:rsidR="00797163" w:rsidRPr="00CF27C9">
              <w:rPr>
                <w:rFonts w:ascii="Times New Roman" w:hAnsi="Times New Roman" w:cs="Times New Roman"/>
                <w:iCs/>
                <w:color w:val="000000" w:themeColor="text1"/>
                <w:sz w:val="24"/>
                <w:szCs w:val="24"/>
              </w:rPr>
              <w:t>Pentru aplicarea prevederilor referitoare la scutirea de la plata impozitului pe venit, prevăzută la art. 76 lit. a^3) din Legea cooperaţiei agricole nr. 566/2004, cu modificările şi completările ulterioare, de care beneficiază persoanele fizice care obţin venituri individual, norma de venit  se reduce de către contribuabil proporțional cu partea corespunzătoare cantității producţiei valorificate prin/către cooperativa agricolă, raportată la totalul producției realizate în anul fiscal curent</w:t>
            </w:r>
            <w:r w:rsidR="00797163" w:rsidRPr="00CF27C9">
              <w:rPr>
                <w:rFonts w:ascii="Times New Roman" w:eastAsiaTheme="minorHAnsi" w:hAnsi="Times New Roman" w:cs="Times New Roman"/>
                <w:color w:val="000000" w:themeColor="text1"/>
                <w:sz w:val="24"/>
                <w:szCs w:val="24"/>
                <w:lang w:eastAsia="en-US"/>
              </w:rPr>
              <w:t>.</w:t>
            </w:r>
          </w:p>
          <w:p w:rsidR="00D0137C" w:rsidRPr="00CF27C9" w:rsidRDefault="001A79A9" w:rsidP="00797163">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b/>
                <w:color w:val="000000" w:themeColor="text1"/>
                <w:sz w:val="24"/>
                <w:szCs w:val="24"/>
                <w:lang w:eastAsia="en-US"/>
              </w:rPr>
              <w:t>5</w:t>
            </w:r>
            <w:r w:rsidR="00797163" w:rsidRPr="00CF27C9">
              <w:rPr>
                <w:rFonts w:ascii="Times New Roman" w:eastAsiaTheme="minorHAnsi" w:hAnsi="Times New Roman" w:cs="Times New Roman"/>
                <w:b/>
                <w:color w:val="000000" w:themeColor="text1"/>
                <w:sz w:val="24"/>
                <w:szCs w:val="24"/>
                <w:lang w:eastAsia="en-US"/>
              </w:rPr>
              <w:t>.</w:t>
            </w:r>
            <w:r w:rsidR="00797163" w:rsidRPr="00CF27C9">
              <w:rPr>
                <w:rFonts w:ascii="Times New Roman" w:eastAsiaTheme="minorHAnsi" w:hAnsi="Times New Roman" w:cs="Times New Roman"/>
                <w:color w:val="000000" w:themeColor="text1"/>
                <w:sz w:val="24"/>
                <w:szCs w:val="24"/>
                <w:lang w:eastAsia="en-US"/>
              </w:rPr>
              <w:t xml:space="preserve"> Introducerea unor dispoziții tranzitorii pentru:</w:t>
            </w:r>
          </w:p>
          <w:p w:rsidR="00D0137C" w:rsidRDefault="00D0137C" w:rsidP="00797163">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D0137C">
              <w:rPr>
                <w:rFonts w:ascii="Times New Roman" w:eastAsiaTheme="minorHAnsi" w:hAnsi="Times New Roman" w:cs="Times New Roman"/>
                <w:color w:val="000000" w:themeColor="text1"/>
                <w:sz w:val="24"/>
                <w:szCs w:val="24"/>
                <w:lang w:eastAsia="en-US"/>
              </w:rPr>
              <w:t>-veniturile realizate în anul 2018 de către persoanele fizice din contractele de activitate sportivă, încheiate potrivit Legii nr. 69/2000 - Legea educaţiei fizice şi sportului, în perioada cuprinsă între data de 1 ianuarie 2018, inclusiv, și data intrării în vigoare a prezentei ordonanțe de urgență,</w:t>
            </w:r>
          </w:p>
          <w:p w:rsidR="00797163" w:rsidRPr="00CF27C9" w:rsidRDefault="00797163" w:rsidP="00797163">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CF27C9">
              <w:rPr>
                <w:rFonts w:ascii="Times New Roman" w:eastAsiaTheme="minorHAnsi" w:hAnsi="Times New Roman" w:cs="Times New Roman"/>
                <w:color w:val="000000" w:themeColor="text1"/>
                <w:sz w:val="24"/>
                <w:szCs w:val="24"/>
                <w:lang w:eastAsia="en-US"/>
              </w:rPr>
              <w:t>-  deciziile de plăți anticipate de impozit pe venit pentru anul 2018 emise</w:t>
            </w:r>
            <w:r w:rsidRPr="00CF27C9">
              <w:rPr>
                <w:color w:val="000000" w:themeColor="text1"/>
              </w:rPr>
              <w:t xml:space="preserve"> </w:t>
            </w:r>
            <w:r w:rsidRPr="00CF27C9">
              <w:rPr>
                <w:rFonts w:ascii="Times New Roman" w:eastAsiaTheme="minorHAnsi" w:hAnsi="Times New Roman" w:cs="Times New Roman"/>
                <w:color w:val="000000" w:themeColor="text1"/>
                <w:sz w:val="24"/>
                <w:szCs w:val="24"/>
                <w:lang w:eastAsia="en-US"/>
              </w:rPr>
              <w:t>anterior intrării în vigoare a prezentei ordonanțe de urgență.</w:t>
            </w:r>
          </w:p>
          <w:p w:rsidR="00797163" w:rsidRPr="00CF27C9" w:rsidRDefault="00797163" w:rsidP="00797163">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p>
          <w:p w:rsidR="00797163" w:rsidRDefault="00797163" w:rsidP="00797163">
            <w:pPr>
              <w:spacing w:after="0" w:line="240" w:lineRule="auto"/>
              <w:ind w:right="132"/>
              <w:jc w:val="both"/>
              <w:rPr>
                <w:rFonts w:ascii="Times New Roman" w:hAnsi="Times New Roman" w:cs="Times New Roman"/>
                <w:b/>
                <w:color w:val="000000" w:themeColor="text1"/>
                <w:sz w:val="24"/>
                <w:szCs w:val="24"/>
                <w:lang w:eastAsia="ro-RO"/>
              </w:rPr>
            </w:pPr>
            <w:r w:rsidRPr="00CF27C9">
              <w:rPr>
                <w:rFonts w:ascii="Times New Roman" w:hAnsi="Times New Roman" w:cs="Times New Roman"/>
                <w:b/>
                <w:color w:val="000000" w:themeColor="text1"/>
                <w:sz w:val="24"/>
                <w:szCs w:val="24"/>
                <w:lang w:eastAsia="ro-RO"/>
              </w:rPr>
              <w:t>D. Titlul V – Contribuții sociale obligatorii</w:t>
            </w:r>
          </w:p>
          <w:p w:rsidR="001F1531" w:rsidRPr="001F1531" w:rsidRDefault="001F1531" w:rsidP="00797163">
            <w:pPr>
              <w:spacing w:after="0" w:line="240" w:lineRule="auto"/>
              <w:ind w:right="132"/>
              <w:jc w:val="both"/>
              <w:rPr>
                <w:rFonts w:ascii="Times New Roman" w:hAnsi="Times New Roman" w:cs="Times New Roman"/>
                <w:color w:val="000000" w:themeColor="text1"/>
                <w:sz w:val="12"/>
                <w:szCs w:val="12"/>
                <w:lang w:eastAsia="ro-RO"/>
              </w:rPr>
            </w:pPr>
          </w:p>
          <w:p w:rsidR="00797163" w:rsidRPr="00CF27C9" w:rsidRDefault="00797163" w:rsidP="00797163">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CF27C9">
              <w:rPr>
                <w:rFonts w:ascii="Times New Roman" w:hAnsi="Times New Roman" w:cs="Times New Roman"/>
                <w:b/>
                <w:bCs/>
                <w:color w:val="000000" w:themeColor="text1"/>
                <w:sz w:val="24"/>
                <w:szCs w:val="24"/>
              </w:rPr>
              <w:t>1.</w:t>
            </w:r>
            <w:r w:rsidRPr="00CF27C9">
              <w:rPr>
                <w:rFonts w:ascii="Times New Roman" w:hAnsi="Times New Roman" w:cs="Times New Roman"/>
                <w:bCs/>
                <w:color w:val="000000" w:themeColor="text1"/>
                <w:sz w:val="24"/>
                <w:szCs w:val="24"/>
              </w:rPr>
              <w:t xml:space="preserve"> Pentru veniturile realizate în baza contractelor de activitate sportivă încheiate conform Legii nr. 69/2000, Legea educaţiei fizice şi sportului, cu modificările și completările ulterioare, regimul fiscal aplicabil în domeniul contribuției de asigurări sociale și al contribuției de asigurări sociale de sănătate este cel prevăzut pentru</w:t>
            </w:r>
            <w:r w:rsidRPr="00CF27C9">
              <w:rPr>
                <w:rFonts w:ascii="Times New Roman" w:eastAsiaTheme="minorHAnsi" w:hAnsi="Times New Roman" w:cs="Times New Roman"/>
                <w:color w:val="000000" w:themeColor="text1"/>
                <w:sz w:val="24"/>
                <w:szCs w:val="24"/>
                <w:lang w:eastAsia="en-US"/>
              </w:rPr>
              <w:t xml:space="preserve"> veniturile din drepturi de proprietate intelectuală, din arendă sau din asocieri cu persoane juridice, contribuabili potrivit prevederilor titlului II, titlului III sau Legii nr. 170/2016.</w:t>
            </w:r>
          </w:p>
          <w:p w:rsidR="00797163" w:rsidRPr="00CF27C9" w:rsidRDefault="00797163" w:rsidP="00797163">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CF27C9">
              <w:rPr>
                <w:rFonts w:ascii="Times New Roman" w:eastAsiaTheme="minorHAnsi" w:hAnsi="Times New Roman" w:cs="Times New Roman"/>
                <w:color w:val="000000" w:themeColor="text1"/>
                <w:sz w:val="24"/>
                <w:szCs w:val="24"/>
                <w:lang w:eastAsia="en-US"/>
              </w:rPr>
              <w:t xml:space="preserve">Pentru persoanele fizice care realizează venituri în baza contractelor de activitate sportivă, pentru care impozitul se reține la sursă, obținute de la un singur plătitor de venit, iar nivelul net estimat al acestor venituri, pentru anul curent, este cel puțin egal cu 12 salarii minime brute pe țară în vigoare în anul pentru care se datorează contribuțiile sociale, plătitorul de venit are obligația să calculeze, să rețină, să plătească contribuția de asigurări sociale și contribuția de asigurări sociale de sănătate, precum și să depună declarația - formular D112. Declarația se depune până la data de 25 inclusiv a lunii următoare celei pentru care se plătesc veniturile. În contractul încheiat între părți se desemnează plătitorul de venit în vederea calculării, reținerii și plății contribuțiilor sociale prin reținere la sursă, precum și venitul ales pentru care datorează CAS, în anul în curs. Nivelul contribuțiilor calculat și reținut la fiecare plată de către plătitorul de venit este cel stabilit de părți, până la concurența contribuției aferente venitului ales precizat în contract pentru CAS, respectiv până la concurența contribuției aferente a 12 salarii minime brute pe țară, pentru CASS. </w:t>
            </w:r>
          </w:p>
          <w:p w:rsidR="00797163" w:rsidRPr="00CF27C9" w:rsidRDefault="00797163" w:rsidP="00797163">
            <w:pPr>
              <w:suppressAutoHyphens w:val="0"/>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CF27C9">
              <w:rPr>
                <w:rFonts w:ascii="Times New Roman" w:eastAsiaTheme="minorHAnsi" w:hAnsi="Times New Roman" w:cs="Times New Roman"/>
                <w:color w:val="000000" w:themeColor="text1"/>
                <w:sz w:val="24"/>
                <w:szCs w:val="24"/>
                <w:lang w:eastAsia="en-US"/>
              </w:rPr>
              <w:t>Reținerea la sursă a contribuțiilor sociale în cazul veniturilor din contractele de activitate sportivă nu se aplică în cazul în care nivelul venitului estimat a se realiza pe fiecare sursă de venit este sub nivelul a 12 salarii minime brute pe țară în vigoare în anul pentru care se datorează contribuțiile. În situația în care venitul cumulat din aceste surse este cel puțin egal cu 12 salarii minime brute pe țară, contribuabilul are obligația depunerii declarației unice, la termenele și în condițiile stabilite.</w:t>
            </w:r>
          </w:p>
          <w:p w:rsidR="00797163" w:rsidRPr="00CF27C9" w:rsidRDefault="001A79A9" w:rsidP="00797163">
            <w:pPr>
              <w:suppressAutoHyphens w:val="0"/>
              <w:autoSpaceDE w:val="0"/>
              <w:autoSpaceDN w:val="0"/>
              <w:adjustRightInd w:val="0"/>
              <w:spacing w:after="0" w:line="240" w:lineRule="auto"/>
              <w:jc w:val="both"/>
              <w:rPr>
                <w:rFonts w:ascii="Times New Roman" w:eastAsiaTheme="minorHAnsi" w:hAnsi="Times New Roman" w:cs="Times New Roman"/>
                <w:b/>
                <w:color w:val="000000" w:themeColor="text1"/>
                <w:sz w:val="24"/>
                <w:szCs w:val="24"/>
                <w:lang w:eastAsia="en-US"/>
              </w:rPr>
            </w:pPr>
            <w:r>
              <w:rPr>
                <w:rFonts w:ascii="Times New Roman" w:eastAsiaTheme="minorHAnsi" w:hAnsi="Times New Roman" w:cs="Times New Roman"/>
                <w:b/>
                <w:color w:val="000000" w:themeColor="text1"/>
                <w:sz w:val="24"/>
                <w:szCs w:val="24"/>
                <w:lang w:eastAsia="en-US"/>
              </w:rPr>
              <w:t>2</w:t>
            </w:r>
            <w:r w:rsidR="00797163" w:rsidRPr="00CF27C9">
              <w:rPr>
                <w:rFonts w:ascii="Times New Roman" w:eastAsiaTheme="minorHAnsi" w:hAnsi="Times New Roman" w:cs="Times New Roman"/>
                <w:b/>
                <w:color w:val="000000" w:themeColor="text1"/>
                <w:sz w:val="24"/>
                <w:szCs w:val="24"/>
                <w:lang w:eastAsia="en-US"/>
              </w:rPr>
              <w:t xml:space="preserve">. </w:t>
            </w:r>
            <w:r w:rsidR="00797163" w:rsidRPr="00CF27C9">
              <w:rPr>
                <w:rFonts w:ascii="Times New Roman" w:eastAsiaTheme="minorHAnsi" w:hAnsi="Times New Roman" w:cs="Times New Roman"/>
                <w:color w:val="000000" w:themeColor="text1"/>
                <w:sz w:val="24"/>
                <w:szCs w:val="24"/>
                <w:lang w:eastAsia="en-US"/>
              </w:rPr>
              <w:t>Efectuarea unor corecții de ordin tehnic.</w:t>
            </w:r>
            <w:r w:rsidR="00797163" w:rsidRPr="00CF27C9">
              <w:rPr>
                <w:rFonts w:ascii="Times New Roman" w:eastAsiaTheme="minorHAnsi" w:hAnsi="Times New Roman" w:cs="Times New Roman"/>
                <w:b/>
                <w:color w:val="000000" w:themeColor="text1"/>
                <w:sz w:val="24"/>
                <w:szCs w:val="24"/>
                <w:lang w:eastAsia="en-US"/>
              </w:rPr>
              <w:t xml:space="preserve"> </w:t>
            </w:r>
          </w:p>
          <w:p w:rsidR="00797163" w:rsidRPr="00CF27C9" w:rsidRDefault="00797163" w:rsidP="00797163">
            <w:pPr>
              <w:suppressAutoHyphens w:val="0"/>
              <w:autoSpaceDE w:val="0"/>
              <w:autoSpaceDN w:val="0"/>
              <w:adjustRightInd w:val="0"/>
              <w:spacing w:after="0" w:line="240" w:lineRule="auto"/>
              <w:jc w:val="both"/>
              <w:rPr>
                <w:rFonts w:ascii="Times New Roman" w:eastAsiaTheme="minorHAnsi" w:hAnsi="Times New Roman" w:cs="Times New Roman"/>
                <w:b/>
                <w:color w:val="000000" w:themeColor="text1"/>
                <w:sz w:val="24"/>
                <w:szCs w:val="24"/>
                <w:lang w:eastAsia="en-US"/>
              </w:rPr>
            </w:pPr>
          </w:p>
          <w:p w:rsidR="00797163" w:rsidRDefault="00797163" w:rsidP="00CF27C9">
            <w:pPr>
              <w:suppressAutoHyphens w:val="0"/>
              <w:autoSpaceDE w:val="0"/>
              <w:autoSpaceDN w:val="0"/>
              <w:adjustRightInd w:val="0"/>
              <w:spacing w:after="0" w:line="240" w:lineRule="auto"/>
              <w:jc w:val="both"/>
              <w:rPr>
                <w:rFonts w:ascii="Times New Roman" w:eastAsiaTheme="minorHAnsi" w:hAnsi="Times New Roman" w:cs="Times New Roman"/>
                <w:b/>
                <w:color w:val="000000" w:themeColor="text1"/>
                <w:sz w:val="24"/>
                <w:szCs w:val="24"/>
                <w:lang w:eastAsia="en-US"/>
              </w:rPr>
            </w:pPr>
            <w:r w:rsidRPr="00CF27C9">
              <w:rPr>
                <w:rFonts w:ascii="Times New Roman" w:eastAsiaTheme="minorHAnsi" w:hAnsi="Times New Roman" w:cs="Times New Roman"/>
                <w:b/>
                <w:color w:val="000000" w:themeColor="text1"/>
                <w:sz w:val="24"/>
                <w:szCs w:val="24"/>
                <w:lang w:eastAsia="en-US"/>
              </w:rPr>
              <w:t>Dispoziții tranzitorii</w:t>
            </w:r>
            <w:r w:rsidRPr="00CF27C9">
              <w:rPr>
                <w:color w:val="000000" w:themeColor="text1"/>
              </w:rPr>
              <w:t xml:space="preserve"> </w:t>
            </w:r>
            <w:r w:rsidRPr="00CF27C9">
              <w:rPr>
                <w:rFonts w:ascii="Times New Roman" w:eastAsia="Arial" w:hAnsi="Times New Roman" w:cs="Times New Roman"/>
                <w:b/>
                <w:color w:val="000000" w:themeColor="text1"/>
                <w:sz w:val="24"/>
                <w:szCs w:val="24"/>
              </w:rPr>
              <w:t>Titlul IV – Impozitul pe venit</w:t>
            </w:r>
            <w:r w:rsidRPr="00CF27C9">
              <w:rPr>
                <w:rFonts w:ascii="Times New Roman" w:eastAsiaTheme="minorHAnsi" w:hAnsi="Times New Roman" w:cs="Times New Roman"/>
                <w:b/>
                <w:color w:val="000000" w:themeColor="text1"/>
                <w:sz w:val="24"/>
                <w:szCs w:val="24"/>
                <w:lang w:eastAsia="en-US"/>
              </w:rPr>
              <w:t xml:space="preserve">  și Titlul V – Contribuții sociale obligatorii</w:t>
            </w:r>
          </w:p>
          <w:p w:rsidR="001F1531" w:rsidRPr="001F1531" w:rsidRDefault="001F1531" w:rsidP="00CF27C9">
            <w:pPr>
              <w:suppressAutoHyphens w:val="0"/>
              <w:autoSpaceDE w:val="0"/>
              <w:autoSpaceDN w:val="0"/>
              <w:adjustRightInd w:val="0"/>
              <w:spacing w:after="0" w:line="240" w:lineRule="auto"/>
              <w:jc w:val="both"/>
              <w:rPr>
                <w:rFonts w:ascii="Times New Roman" w:eastAsiaTheme="minorHAnsi" w:hAnsi="Times New Roman" w:cs="Times New Roman"/>
                <w:b/>
                <w:color w:val="000000" w:themeColor="text1"/>
                <w:sz w:val="12"/>
                <w:szCs w:val="12"/>
                <w:lang w:eastAsia="en-US"/>
              </w:rPr>
            </w:pPr>
          </w:p>
          <w:p w:rsidR="000833E9" w:rsidRPr="00CF27C9" w:rsidRDefault="000833E9" w:rsidP="00CF27C9">
            <w:pPr>
              <w:shd w:val="clear" w:color="auto" w:fill="FFFFFF" w:themeFill="background1"/>
              <w:suppressAutoHyphens w:val="0"/>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Pentru veniturile realizate în anul 2018 de către persoanele fizice din contractelor de activitate sportivă, încheiate potrivit Legii nr. 69/2000 - Legea educaţiei fizice şi sportului, în perioada cuprinsă între data de 1 ianuarie 2018, inclusiv, și data intrării în vigoare a prezentei ordonanțe de urgență, se aplică următoarele reguli:</w:t>
            </w:r>
          </w:p>
          <w:p w:rsidR="000833E9" w:rsidRPr="00CF27C9" w:rsidRDefault="000833E9" w:rsidP="00CF27C9">
            <w:pPr>
              <w:shd w:val="clear" w:color="auto" w:fill="FFFFFF" w:themeFill="background1"/>
              <w:suppressAutoHyphens w:val="0"/>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a) contribuabilii au obligația efectuării calculului venitului net aferent anului 2018, stabilit pe baza cotei forfetare de cheltuieli sau în sistem real, a determinării și a plății impozitului pentru veniturile aferente anului 2018, până la data de 15 martie 2019, inclusiv;</w:t>
            </w:r>
          </w:p>
          <w:p w:rsidR="000833E9" w:rsidRPr="00CF27C9" w:rsidRDefault="000833E9" w:rsidP="00CF27C9">
            <w:pPr>
              <w:shd w:val="clear" w:color="auto" w:fill="FFFFFF" w:themeFill="background1"/>
              <w:suppressAutoHyphens w:val="0"/>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b) plățile anticipate pentru veniturile obținute din contracte de activitate sportivă, vor fi luate în calcul la stabilirea impozitului anual de plată pentru anul 2018;</w:t>
            </w:r>
          </w:p>
          <w:p w:rsidR="000833E9" w:rsidRPr="00CF27C9" w:rsidRDefault="000833E9" w:rsidP="00CF27C9">
            <w:pPr>
              <w:shd w:val="clear" w:color="auto" w:fill="FFFFFF" w:themeFill="background1"/>
              <w:suppressAutoHyphens w:val="0"/>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Pentru veniturile realizate în anul 2018 de către persoanele fizice din contracte de activitate sportivă, începând cu data intrării în vigoare a prezentei ordonanțe de urgență, obligațiile privind calcularea, reținerea la sursă, plata și declararea impozitului sunt cele prevăzute la art. 68</w:t>
            </w:r>
            <w:r w:rsidRPr="00CF27C9">
              <w:rPr>
                <w:rFonts w:ascii="Times New Roman" w:hAnsi="Times New Roman" w:cs="Times New Roman"/>
                <w:color w:val="000000" w:themeColor="text1"/>
                <w:sz w:val="24"/>
                <w:szCs w:val="24"/>
                <w:vertAlign w:val="superscript"/>
              </w:rPr>
              <w:t>1</w:t>
            </w:r>
            <w:r w:rsidRPr="00CF27C9">
              <w:rPr>
                <w:rFonts w:ascii="Times New Roman" w:hAnsi="Times New Roman" w:cs="Times New Roman"/>
                <w:color w:val="000000" w:themeColor="text1"/>
                <w:sz w:val="24"/>
                <w:szCs w:val="24"/>
              </w:rPr>
              <w:t xml:space="preserve"> din Legea nr. 227/2015 privind Codul fiscal, cu modificările și completările ulterioare.</w:t>
            </w:r>
          </w:p>
          <w:p w:rsidR="000833E9" w:rsidRPr="00CF27C9" w:rsidRDefault="000833E9" w:rsidP="00CF27C9">
            <w:pPr>
              <w:shd w:val="clear" w:color="auto" w:fill="FFFFFF" w:themeFill="background1"/>
              <w:suppressAutoHyphens w:val="0"/>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Pentru veniturile realizate în anul 2018 de către persoanele fizice din activități agricole impuse pe baza normelor de venit se aplică următoarele reguli:</w:t>
            </w:r>
          </w:p>
          <w:p w:rsidR="000833E9" w:rsidRPr="00CF27C9" w:rsidRDefault="000833E9" w:rsidP="0094135C">
            <w:pPr>
              <w:shd w:val="clear" w:color="auto" w:fill="FFFFFF" w:themeFill="background1"/>
              <w:suppressAutoHyphens w:val="0"/>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a) declarațiile privind veniturile din activități agricole impuse pe bază de norme de venit –formular 221, depuse de către contribuabili/asocieri fără personalitate juridică la organul fiscal competent în cursul anului 2018, până la data intrării în vigoare a prezentei Ordonanțe de urgență a Guvernului vor fi înlocuite cu declarația unică privind impozitul pe venit și contribuțiile sociale datorate de persoanele fizice, care se va depune până la data de 15 iulie 2018, inclusiv;</w:t>
            </w:r>
          </w:p>
          <w:p w:rsidR="000833E9" w:rsidRPr="00CF27C9" w:rsidRDefault="000833E9" w:rsidP="0094135C">
            <w:pPr>
              <w:shd w:val="clear" w:color="auto" w:fill="FFFFFF" w:themeFill="background1"/>
              <w:suppressAutoHyphens w:val="0"/>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b) contribuabilii/asociatul desemnat în cazul asocierilor fără personalitate juridică, care nu au depus declarația privind veniturile din activități agricole impuse pe bază de norme de venit –formular 221 la organul fiscal competent până la data intrării în vigoare a prezentei Ordonanțe de urgență a Guvernului au obligația depunerii declarației unice privind impozitul pe venit și contribuțiile sociale datorate de persoanele fizice, până la data de 15 iulie 2018, inclusiv;</w:t>
            </w:r>
          </w:p>
          <w:p w:rsidR="000833E9" w:rsidRPr="00CF27C9" w:rsidRDefault="000833E9" w:rsidP="00CF27C9">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Deciziile de plăți anticipate de impozit pe venit pentru anul 2018 emise în temeiul art. 85, 107 și 121 și comunicate contribuabililor se anulează din oficiu de către organul fiscal central competent, prin emiterea unei decizii de anulare a obligațiilor fiscale, care se comunică contribuabilului.</w:t>
            </w:r>
          </w:p>
          <w:p w:rsidR="000833E9" w:rsidRPr="00CF27C9" w:rsidRDefault="000833E9" w:rsidP="00CF27C9">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În cazul în care, anterior intrării în vigoare a prezentei ordonanțe, organul fiscal central competent a emis, dar nu a comunicat decizia de impunere prin care a stabilit plăți anticipate de impozit pe venit, acesta nu mai comunică decizia de impunere, iar obligațiile fiscale se scad din evidența analitică pe plătitor, pe bază de borderou de scădere.</w:t>
            </w:r>
          </w:p>
          <w:p w:rsidR="000833E9" w:rsidRPr="00CF27C9" w:rsidRDefault="000833E9" w:rsidP="00CF27C9">
            <w:pPr>
              <w:suppressAutoHyphens w:val="0"/>
              <w:autoSpaceDE w:val="0"/>
              <w:autoSpaceDN w:val="0"/>
              <w:adjustRightInd w:val="0"/>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În cazul în care anterior intrării în vigoare a prezentei ordonanțe, organul fiscal competent nu a emis decizia de stabilire a platilor anticipate pentru anul 2018 nu mai emite nicio decizie.</w:t>
            </w:r>
          </w:p>
          <w:p w:rsidR="000833E9" w:rsidRPr="00CF27C9" w:rsidRDefault="000833E9" w:rsidP="00CF27C9">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Pentru veniturile realizate în anul 2018 de către persoanele fizice în baza contractelor de activitate sportivă, încheiate potrivit Legii educaţiei fizice şi sportului nr. 69/2000, cu modificările și completările ulterioare, pentru care contribuția de asigurări sociale și contribuția de asigurări sociale de sănătate, se rețin la sursă de către plătitorul de venit, acesta are obligația ca până la data de 15 martie 2019, inclusiv, să stabilească, să rețină, să plătească și să declare contribuțiile anuale datorate de beneficiarul de venit pentru anul 2018.</w:t>
            </w:r>
          </w:p>
          <w:p w:rsidR="000833E9" w:rsidRPr="00CF27C9" w:rsidRDefault="000833E9" w:rsidP="00CF27C9">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În cazul persoanelor prevăzute la art. 180 din Legea nr. 227/2015 privind Codul fiscal, cu modificările și completările ulterioare, care optează pentru plata contribuției de asigurări sociale de sănătate potrivit legii, înainte de data emiterii ordinului privind modelul, conţinutul, modalitatea de depunere şi de gestionare a declaraţiei unice privind impozitul pe venit și contribuții sociale datorate de persoanele fizice, prevăzut la art. 122 alin. (6) din Legea nr. 227/2015, depun </w:t>
            </w:r>
            <w:r w:rsidRPr="00CF27C9">
              <w:rPr>
                <w:rFonts w:ascii="Times New Roman" w:hAnsi="Times New Roman" w:cs="Times New Roman"/>
                <w:i/>
                <w:color w:val="000000" w:themeColor="text1"/>
                <w:sz w:val="24"/>
                <w:szCs w:val="24"/>
              </w:rPr>
              <w:t xml:space="preserve">Declaraţia pentru stabilirea obligaţiilor de plată cu titlu de contribuţie de asigurări sociale de sănătate datorată de persoanele fizice care nu realizează venituri sau alte categorii de persoane prevăzute la art. 180 din Codul fiscal - </w:t>
            </w:r>
            <w:r w:rsidRPr="00CF27C9">
              <w:rPr>
                <w:rFonts w:ascii="Times New Roman" w:hAnsi="Times New Roman" w:cs="Times New Roman"/>
                <w:color w:val="000000" w:themeColor="text1"/>
                <w:sz w:val="24"/>
                <w:szCs w:val="24"/>
              </w:rPr>
              <w:t>formular 604 și efectuează plata contribuției conform prevederilor art. 180 alin. (2) lit.</w:t>
            </w:r>
            <w:r w:rsidR="0094135C">
              <w:rPr>
                <w:rFonts w:ascii="Times New Roman" w:hAnsi="Times New Roman" w:cs="Times New Roman"/>
                <w:color w:val="000000" w:themeColor="text1"/>
                <w:sz w:val="24"/>
                <w:szCs w:val="24"/>
              </w:rPr>
              <w:t xml:space="preserve"> </w:t>
            </w:r>
            <w:r w:rsidRPr="00CF27C9">
              <w:rPr>
                <w:rFonts w:ascii="Times New Roman" w:hAnsi="Times New Roman" w:cs="Times New Roman"/>
                <w:color w:val="000000" w:themeColor="text1"/>
                <w:sz w:val="24"/>
                <w:szCs w:val="24"/>
              </w:rPr>
              <w:t xml:space="preserve">a)  și alin. (3) din Legea nr.227/2015. </w:t>
            </w:r>
          </w:p>
          <w:p w:rsidR="000833E9" w:rsidRPr="00CF27C9" w:rsidRDefault="000833E9" w:rsidP="00CF27C9">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În cazul în care impozitul pe venit aferent deciziilor de plăți anticipate care se anulează potrivit prezentului articol a fost stins, contribuabilii pot solicita restituirea acestuia potrivit art. 168  din Legea 207/2015 privind Codul de procedură fiscală, cu modificările și completările ulterioare. </w:t>
            </w:r>
          </w:p>
          <w:p w:rsidR="00797163" w:rsidRPr="00CF27C9" w:rsidRDefault="00797163" w:rsidP="00797163">
            <w:pPr>
              <w:suppressAutoHyphens w:val="0"/>
              <w:autoSpaceDE w:val="0"/>
              <w:autoSpaceDN w:val="0"/>
              <w:adjustRightInd w:val="0"/>
              <w:spacing w:after="0" w:line="240" w:lineRule="auto"/>
              <w:jc w:val="both"/>
              <w:rPr>
                <w:rFonts w:ascii="Times New Roman" w:eastAsiaTheme="minorHAnsi" w:hAnsi="Times New Roman" w:cs="Times New Roman"/>
                <w:b/>
                <w:color w:val="000000" w:themeColor="text1"/>
                <w:sz w:val="24"/>
                <w:szCs w:val="24"/>
                <w:lang w:eastAsia="en-US"/>
              </w:rPr>
            </w:pPr>
          </w:p>
          <w:p w:rsidR="00797163" w:rsidRDefault="00797163" w:rsidP="00797163">
            <w:pPr>
              <w:suppressAutoHyphens w:val="0"/>
              <w:autoSpaceDE w:val="0"/>
              <w:autoSpaceDN w:val="0"/>
              <w:adjustRightInd w:val="0"/>
              <w:spacing w:after="0" w:line="240" w:lineRule="auto"/>
              <w:jc w:val="both"/>
              <w:rPr>
                <w:rFonts w:ascii="Times New Roman" w:hAnsi="Times New Roman" w:cs="Times New Roman"/>
                <w:b/>
                <w:color w:val="000000" w:themeColor="text1"/>
                <w:sz w:val="24"/>
                <w:szCs w:val="24"/>
                <w:lang w:eastAsia="ro-RO"/>
              </w:rPr>
            </w:pPr>
            <w:r w:rsidRPr="00CF27C9">
              <w:rPr>
                <w:rFonts w:ascii="Times New Roman" w:hAnsi="Times New Roman" w:cs="Times New Roman"/>
                <w:b/>
                <w:color w:val="000000" w:themeColor="text1"/>
                <w:sz w:val="24"/>
                <w:szCs w:val="24"/>
                <w:lang w:eastAsia="ro-RO"/>
              </w:rPr>
              <w:t>E. TITLUL VI – Impozitul pe veniturile obținute din România de nerezidenți și impozitul pe reprezentanțele firmelor străine înființate în România</w:t>
            </w:r>
          </w:p>
          <w:p w:rsidR="0094135C" w:rsidRPr="0094135C" w:rsidRDefault="0094135C" w:rsidP="00797163">
            <w:pPr>
              <w:suppressAutoHyphens w:val="0"/>
              <w:autoSpaceDE w:val="0"/>
              <w:autoSpaceDN w:val="0"/>
              <w:adjustRightInd w:val="0"/>
              <w:spacing w:after="0" w:line="240" w:lineRule="auto"/>
              <w:jc w:val="both"/>
              <w:rPr>
                <w:rFonts w:ascii="Times New Roman" w:hAnsi="Times New Roman" w:cs="Times New Roman"/>
                <w:b/>
                <w:color w:val="000000" w:themeColor="text1"/>
                <w:sz w:val="12"/>
                <w:szCs w:val="12"/>
                <w:lang w:eastAsia="ro-RO"/>
              </w:rPr>
            </w:pPr>
          </w:p>
          <w:p w:rsidR="00797163" w:rsidRPr="00CF27C9" w:rsidRDefault="00797163" w:rsidP="00797163">
            <w:pPr>
              <w:suppressAutoHyphens w:val="0"/>
              <w:autoSpaceDE w:val="0"/>
              <w:autoSpaceDN w:val="0"/>
              <w:adjustRightInd w:val="0"/>
              <w:spacing w:after="0" w:line="240" w:lineRule="auto"/>
              <w:jc w:val="both"/>
              <w:rPr>
                <w:rFonts w:ascii="Times New Roman" w:hAnsi="Times New Roman" w:cs="Times New Roman"/>
                <w:color w:val="000000" w:themeColor="text1"/>
                <w:sz w:val="24"/>
                <w:szCs w:val="24"/>
                <w:lang w:eastAsia="ro-RO"/>
              </w:rPr>
            </w:pPr>
            <w:r w:rsidRPr="00CF27C9">
              <w:rPr>
                <w:rFonts w:ascii="Times New Roman" w:hAnsi="Times New Roman" w:cs="Times New Roman"/>
                <w:color w:val="000000" w:themeColor="text1"/>
                <w:sz w:val="24"/>
                <w:szCs w:val="24"/>
                <w:lang w:eastAsia="ro-RO"/>
              </w:rPr>
              <w:t>Directiva 2003/48/CE a Consiliului din 3 iunie 2003 privind impozitarea veniturilor din economii sub forma plăţilor de dobânzi, cu amendamentele ulterioare s-a abrogat în relația cu statele membre începând cu 1 ianuarie 2016, iar în relația cu Austria începând cu 1 ianuarie 2017, prin Directiva (UE) 2015/2060 a Consiliului din 10 noiembrie 2015. Însă, în relaţia cu Austria au fost menţinute atât obligaţiile agentului plătitor stabilit în România de a comunica autorității competente române până în ultima zi a lunii februarie, inclusiv a anului 2017, informaţii legate de beneficiarul efectiv şi plătile de dobânzi efectuate către rezidenţi austrieci, cât şi prevederile privind obligațiile autorității competente din România de a transmite aceste informaţii până la 30 iunie 2017 autoritătii competente din Austria. Având în vedere că nu mai exista obligaţii de colectare şi comunicare a informaţiilor in baza Directivei 2003/48/CE a Consiliului din 3 iunie 2003, întrucât ultima raportare a fost efectuată pe data de 30 iunie 2017, se impune abrogarea din Codul Fiscal a tuturor prevederilor care se referă la această Directivă, respectiv art.231 alin. (2) și art. 238 - 254.</w:t>
            </w:r>
          </w:p>
          <w:p w:rsidR="008A0F11" w:rsidRPr="00CF27C9" w:rsidRDefault="008A0F11" w:rsidP="00797163">
            <w:pPr>
              <w:suppressAutoHyphens w:val="0"/>
              <w:autoSpaceDE w:val="0"/>
              <w:autoSpaceDN w:val="0"/>
              <w:adjustRightInd w:val="0"/>
              <w:spacing w:after="0" w:line="240" w:lineRule="auto"/>
              <w:jc w:val="both"/>
              <w:rPr>
                <w:rFonts w:ascii="Times New Roman" w:hAnsi="Times New Roman" w:cs="Times New Roman"/>
                <w:color w:val="000000" w:themeColor="text1"/>
                <w:sz w:val="24"/>
                <w:szCs w:val="24"/>
                <w:lang w:eastAsia="ro-RO"/>
              </w:rPr>
            </w:pPr>
          </w:p>
          <w:p w:rsidR="008A0F11" w:rsidRPr="00944680" w:rsidRDefault="008A0F11" w:rsidP="008A0F11">
            <w:pPr>
              <w:suppressAutoHyphens w:val="0"/>
              <w:autoSpaceDE w:val="0"/>
              <w:autoSpaceDN w:val="0"/>
              <w:adjustRightInd w:val="0"/>
              <w:spacing w:after="0" w:line="240" w:lineRule="auto"/>
              <w:rPr>
                <w:rFonts w:ascii="Times New Roman" w:hAnsi="Times New Roman" w:cs="Times New Roman"/>
                <w:b/>
                <w:bCs/>
                <w:color w:val="000000" w:themeColor="text1"/>
                <w:sz w:val="24"/>
                <w:szCs w:val="24"/>
                <w:lang w:eastAsia="en-GB"/>
              </w:rPr>
            </w:pPr>
            <w:r w:rsidRPr="00944680">
              <w:rPr>
                <w:rFonts w:ascii="Times New Roman" w:hAnsi="Times New Roman" w:cs="Times New Roman"/>
                <w:b/>
                <w:bCs/>
                <w:color w:val="000000" w:themeColor="text1"/>
                <w:sz w:val="24"/>
                <w:szCs w:val="24"/>
                <w:lang w:eastAsia="en-GB"/>
              </w:rPr>
              <w:t>F. Taxa pe valoarea adăugată</w:t>
            </w:r>
          </w:p>
          <w:p w:rsidR="0094135C" w:rsidRPr="00944680" w:rsidRDefault="0094135C" w:rsidP="008A0F11">
            <w:pPr>
              <w:suppressAutoHyphens w:val="0"/>
              <w:autoSpaceDE w:val="0"/>
              <w:autoSpaceDN w:val="0"/>
              <w:adjustRightInd w:val="0"/>
              <w:spacing w:after="0" w:line="240" w:lineRule="auto"/>
              <w:rPr>
                <w:rFonts w:ascii="Times New Roman" w:hAnsi="Times New Roman" w:cs="Times New Roman"/>
                <w:color w:val="000000" w:themeColor="text1"/>
                <w:sz w:val="12"/>
                <w:szCs w:val="12"/>
                <w:lang w:eastAsia="en-GB"/>
              </w:rPr>
            </w:pPr>
          </w:p>
          <w:p w:rsidR="008A0F11" w:rsidRPr="00CF27C9" w:rsidRDefault="008A0F11" w:rsidP="0094135C">
            <w:pPr>
              <w:spacing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Se propune introducerea unor prevederi exprese de clarificare a regimului TVA aplicabil și în prezent operațiunilor efectuate în cadrul proiectelor de cercetare – dezvoltare și inovare. Astfel, se propune introducerea unei prevederi potrivit căreia aceste operațiuni nu se cuprind în sfera TVA dacă rezultatele cercetării nu sunt transferate altei persoane, întrucât în această situație operațiunile nu sunt asimilate unor livrări de bunuri sau prestări de servicii. În situația în care rezultatele cercetării se transferă altei persoane, în vederea determinării regimului TVA aplicabil, este necesară o analiză de la caz la caz, pentru a stabili dacă operațiunile respective reprezintă livrări de bunuri/prestări de servicii efectuate cu plată în sensul TVA.</w:t>
            </w:r>
          </w:p>
          <w:p w:rsidR="00401ADC" w:rsidRPr="00CF27C9" w:rsidRDefault="00A63A27" w:rsidP="008A0F11">
            <w:pPr>
              <w:pStyle w:val="ListParagraph"/>
              <w:numPr>
                <w:ilvl w:val="0"/>
                <w:numId w:val="15"/>
              </w:numPr>
              <w:spacing w:after="0" w:line="240" w:lineRule="auto"/>
              <w:jc w:val="both"/>
              <w:rPr>
                <w:rFonts w:ascii="Times New Roman" w:hAnsi="Times New Roman" w:cs="Times New Roman"/>
                <w:b/>
                <w:iCs/>
                <w:color w:val="000000" w:themeColor="text1"/>
                <w:sz w:val="24"/>
                <w:szCs w:val="24"/>
              </w:rPr>
            </w:pPr>
            <w:r w:rsidRPr="00CF27C9">
              <w:rPr>
                <w:rFonts w:ascii="Times New Roman" w:hAnsi="Times New Roman" w:cs="Times New Roman"/>
                <w:b/>
                <w:iCs/>
                <w:color w:val="000000" w:themeColor="text1"/>
                <w:sz w:val="24"/>
                <w:szCs w:val="24"/>
              </w:rPr>
              <w:t>Titlul VIII – Accize și alte taxe speciale</w:t>
            </w:r>
          </w:p>
          <w:p w:rsidR="0083610A" w:rsidRPr="00CF27C9" w:rsidRDefault="0083610A" w:rsidP="0083610A">
            <w:pPr>
              <w:pStyle w:val="ListParagraph"/>
              <w:spacing w:after="0" w:line="240" w:lineRule="auto"/>
              <w:ind w:left="381"/>
              <w:jc w:val="both"/>
              <w:rPr>
                <w:color w:val="000000" w:themeColor="text1"/>
                <w:sz w:val="12"/>
                <w:szCs w:val="12"/>
              </w:rPr>
            </w:pPr>
          </w:p>
          <w:p w:rsidR="00401ADC" w:rsidRPr="00CF27C9" w:rsidRDefault="003D6441" w:rsidP="0094135C">
            <w:pPr>
              <w:spacing w:after="0" w:line="240" w:lineRule="auto"/>
              <w:ind w:right="124"/>
              <w:jc w:val="both"/>
              <w:rPr>
                <w:rFonts w:ascii="Times New Roman" w:hAnsi="Times New Roman" w:cs="Times New Roman"/>
                <w:color w:val="000000" w:themeColor="text1"/>
                <w:sz w:val="24"/>
                <w:szCs w:val="24"/>
              </w:rPr>
            </w:pPr>
            <w:r w:rsidRPr="00CF27C9">
              <w:rPr>
                <w:rFonts w:ascii="Times New Roman" w:hAnsi="Times New Roman" w:cs="Times New Roman"/>
                <w:b/>
                <w:color w:val="000000" w:themeColor="text1"/>
                <w:sz w:val="24"/>
                <w:szCs w:val="24"/>
              </w:rPr>
              <w:t>1.</w:t>
            </w:r>
            <w:r w:rsidRPr="00CF27C9">
              <w:rPr>
                <w:rFonts w:ascii="Times New Roman" w:hAnsi="Times New Roman" w:cs="Times New Roman"/>
                <w:color w:val="000000" w:themeColor="text1"/>
                <w:sz w:val="24"/>
                <w:szCs w:val="24"/>
              </w:rPr>
              <w:t xml:space="preserve"> </w:t>
            </w:r>
            <w:r w:rsidR="00A63A27" w:rsidRPr="00CF27C9">
              <w:rPr>
                <w:rFonts w:ascii="Times New Roman" w:hAnsi="Times New Roman" w:cs="Times New Roman"/>
                <w:color w:val="000000" w:themeColor="text1"/>
                <w:sz w:val="24"/>
                <w:szCs w:val="24"/>
              </w:rPr>
              <w:t>În scopul menținerii competitivității transportului de mărfuri și persoane, se propune stabilirea unui nivel redus al accizelor pentru motorina utilizată drept carburant:</w:t>
            </w:r>
          </w:p>
          <w:p w:rsidR="00401ADC" w:rsidRPr="00CF27C9" w:rsidRDefault="00A63A27">
            <w:pPr>
              <w:spacing w:after="0" w:line="240" w:lineRule="auto"/>
              <w:ind w:left="74" w:right="124" w:firstLine="360"/>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pentru transportul rutier de mărfuri în cont propriu sau pentru alte persoane</w:t>
            </w:r>
            <w:r w:rsidRPr="00CF27C9">
              <w:rPr>
                <w:rFonts w:ascii="Times New Roman" w:eastAsia="EUAlbertina-Regular-Identity-H" w:hAnsi="Times New Roman" w:cs="Times New Roman"/>
                <w:color w:val="000000" w:themeColor="text1"/>
                <w:sz w:val="24"/>
                <w:szCs w:val="24"/>
              </w:rPr>
              <w:t>, cu autovehicule sau ansambluri de vehicule articulate destinate exclusiv transportului rutier de mărfuri și cu o greutate brută maximă autorizată de cel puțin 7,5 tone,</w:t>
            </w:r>
            <w:r w:rsidRPr="00CF27C9">
              <w:rPr>
                <w:rFonts w:ascii="Times New Roman" w:hAnsi="Times New Roman" w:cs="Times New Roman"/>
                <w:color w:val="000000" w:themeColor="text1"/>
                <w:sz w:val="24"/>
                <w:szCs w:val="24"/>
              </w:rPr>
              <w:t xml:space="preserve"> precum și</w:t>
            </w:r>
          </w:p>
          <w:p w:rsidR="00401ADC" w:rsidRPr="00CF27C9" w:rsidRDefault="00A63A27">
            <w:pPr>
              <w:spacing w:after="0" w:line="240" w:lineRule="auto"/>
              <w:ind w:left="74" w:right="124" w:firstLine="360"/>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 pentru transportul de persoane, regulat sau ocazional, exclusiv transportul public local de persoane, cu un autovehicul din categoria M2 sau M3, definit în Directiva 2007/46/CE a Parlamentului European și a Consiliului din 5 septembrie 2007 de stabilire a unui cadru pentru omologarea autovehiculelor și a remorcilor acestora, precum și a sistemelor, componentelor și unităților tehnice separate destinate vehiculelor respective. </w:t>
            </w:r>
          </w:p>
          <w:p w:rsidR="00401ADC" w:rsidRPr="00CF27C9" w:rsidRDefault="00A63A27">
            <w:pPr>
              <w:spacing w:after="0" w:line="240" w:lineRule="auto"/>
              <w:ind w:left="74" w:right="124"/>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Nivelul redus se stabilește prin diminuarea </w:t>
            </w:r>
            <w:r w:rsidRPr="00CF27C9">
              <w:rPr>
                <w:rFonts w:ascii="Times New Roman" w:eastAsia="EUAlbertina-Regular-Identity-H" w:hAnsi="Times New Roman" w:cs="Times New Roman"/>
                <w:color w:val="000000" w:themeColor="text1"/>
                <w:sz w:val="24"/>
                <w:szCs w:val="24"/>
              </w:rPr>
              <w:t xml:space="preserve">nivelului </w:t>
            </w:r>
            <w:r w:rsidRPr="00CF27C9">
              <w:rPr>
                <w:rFonts w:ascii="Times New Roman" w:hAnsi="Times New Roman" w:cs="Times New Roman"/>
                <w:color w:val="000000" w:themeColor="text1"/>
                <w:sz w:val="24"/>
                <w:szCs w:val="24"/>
              </w:rPr>
              <w:t xml:space="preserve">standard al accizelor prevăzut pentru motorină cu </w:t>
            </w:r>
            <w:r w:rsidRPr="00CF27C9">
              <w:rPr>
                <w:rFonts w:ascii="Times New Roman" w:eastAsia="EUAlbertina-Regular-Identity-H" w:hAnsi="Times New Roman" w:cs="Times New Roman"/>
                <w:color w:val="000000" w:themeColor="text1"/>
                <w:sz w:val="24"/>
                <w:szCs w:val="24"/>
              </w:rPr>
              <w:t>183,62 lei/1000 litri, respectiv cu 217,31 lei/tonă</w:t>
            </w:r>
            <w:r w:rsidRPr="00CF27C9">
              <w:rPr>
                <w:rFonts w:ascii="Times New Roman" w:hAnsi="Times New Roman" w:cs="Times New Roman"/>
                <w:color w:val="000000" w:themeColor="text1"/>
                <w:sz w:val="24"/>
                <w:szCs w:val="24"/>
              </w:rPr>
              <w:t>.</w:t>
            </w:r>
          </w:p>
          <w:p w:rsidR="00401ADC" w:rsidRPr="00CF27C9" w:rsidRDefault="00A63A27">
            <w:pPr>
              <w:spacing w:after="0" w:line="240" w:lineRule="auto"/>
              <w:ind w:left="74" w:right="124"/>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Sumele reprezentând diferența dintre nivelul standard și nivelul redus al accizelor se restituie operatorilor economici licențiați în Uniunea Europeană, iar condițiile, procedura și termenele de restituire se stabilesc prin hotărâre a Guvernului. </w:t>
            </w:r>
          </w:p>
          <w:p w:rsidR="00401ADC" w:rsidRPr="00CF27C9" w:rsidRDefault="00A63A27">
            <w:pPr>
              <w:spacing w:after="0" w:line="240" w:lineRule="auto"/>
              <w:ind w:left="74" w:right="124"/>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Măsura se aplică numai pentru motorină, întrucât este carburantul pentru care Directiva 2003/96/CE </w:t>
            </w:r>
            <w:r w:rsidRPr="00CF27C9">
              <w:rPr>
                <w:rFonts w:ascii="Times New Roman" w:eastAsia="Arial" w:hAnsi="Times New Roman" w:cs="Times New Roman"/>
                <w:color w:val="000000" w:themeColor="text1"/>
                <w:sz w:val="24"/>
                <w:szCs w:val="24"/>
              </w:rPr>
              <w:t xml:space="preserve">a Consiliului din 27 octombrie 2003 </w:t>
            </w:r>
            <w:r w:rsidRPr="00CF27C9">
              <w:rPr>
                <w:rFonts w:ascii="Times New Roman" w:hAnsi="Times New Roman" w:cs="Times New Roman"/>
                <w:color w:val="000000" w:themeColor="text1"/>
                <w:sz w:val="24"/>
                <w:szCs w:val="24"/>
              </w:rPr>
              <w:t>privind restructurarea cadrului comunitar de impozitare a produselor energetice și a electricității permite acordarea unei reduceri de accize.</w:t>
            </w:r>
          </w:p>
          <w:p w:rsidR="00401ADC" w:rsidRPr="00CF27C9" w:rsidRDefault="00A63A27">
            <w:pPr>
              <w:spacing w:after="0" w:line="240" w:lineRule="auto"/>
              <w:ind w:left="74" w:right="124"/>
              <w:jc w:val="both"/>
              <w:rPr>
                <w:rFonts w:ascii="Times New Roman" w:eastAsia="Arial" w:hAnsi="Times New Roman" w:cs="Times New Roman"/>
                <w:color w:val="000000" w:themeColor="text1"/>
                <w:sz w:val="24"/>
                <w:szCs w:val="24"/>
                <w:lang w:eastAsia="en-US"/>
              </w:rPr>
            </w:pPr>
            <w:r w:rsidRPr="00CF27C9">
              <w:rPr>
                <w:rFonts w:ascii="Times New Roman" w:eastAsia="Arial" w:hAnsi="Times New Roman" w:cs="Times New Roman"/>
                <w:color w:val="000000" w:themeColor="text1"/>
                <w:sz w:val="24"/>
                <w:szCs w:val="24"/>
              </w:rPr>
              <w:t>Sunt de asemenea respectate condițiile impuse la art. 7 din Directiva 2003/96/CE, în sensul că nivelul redus propus al accizelor se situează peste  nivelul minim prevăzut î</w:t>
            </w:r>
            <w:r w:rsidRPr="00CF27C9">
              <w:rPr>
                <w:rFonts w:ascii="Times New Roman" w:eastAsia="Arial" w:hAnsi="Times New Roman" w:cs="Times New Roman"/>
                <w:color w:val="000000" w:themeColor="text1"/>
                <w:sz w:val="24"/>
                <w:szCs w:val="24"/>
                <w:lang w:eastAsia="en-US"/>
              </w:rPr>
              <w:t>n Anexa I tabel A din directivă, respectiv 330 euro/1.000 litri.</w:t>
            </w:r>
          </w:p>
          <w:p w:rsidR="003D6441" w:rsidRPr="00CF27C9" w:rsidRDefault="003D6441" w:rsidP="003D6441">
            <w:pPr>
              <w:spacing w:after="0" w:line="240" w:lineRule="auto"/>
              <w:ind w:left="74" w:right="124"/>
              <w:jc w:val="both"/>
              <w:rPr>
                <w:rFonts w:ascii="Times New Roman" w:eastAsia="Arial" w:hAnsi="Times New Roman" w:cs="Times New Roman"/>
                <w:iCs/>
                <w:color w:val="000000" w:themeColor="text1"/>
                <w:sz w:val="24"/>
                <w:szCs w:val="24"/>
                <w:lang w:eastAsia="ro-RO"/>
              </w:rPr>
            </w:pPr>
            <w:r w:rsidRPr="00CF27C9">
              <w:rPr>
                <w:rFonts w:ascii="Times New Roman" w:eastAsia="Arial" w:hAnsi="Times New Roman" w:cs="Times New Roman"/>
                <w:b/>
                <w:bCs/>
                <w:color w:val="000000" w:themeColor="text1"/>
                <w:sz w:val="24"/>
                <w:szCs w:val="24"/>
                <w:lang w:eastAsia="en-US"/>
              </w:rPr>
              <w:t xml:space="preserve">2. </w:t>
            </w:r>
            <w:r w:rsidRPr="00CF27C9">
              <w:rPr>
                <w:rFonts w:ascii="Times New Roman" w:eastAsia="Arial" w:hAnsi="Times New Roman" w:cs="Times New Roman"/>
                <w:color w:val="000000" w:themeColor="text1"/>
                <w:sz w:val="24"/>
                <w:szCs w:val="24"/>
                <w:lang w:eastAsia="en-US"/>
              </w:rPr>
              <w:t xml:space="preserve"> Pentru o egalitate de tratament între categoriile de operatori cu produse supuse accizelor armonizate, se propune introducerea condiției potrivit căreia persoana care solicită autorizarea în calitate de antrepozitar autorizat, să nu </w:t>
            </w:r>
            <w:r w:rsidRPr="00CF27C9">
              <w:rPr>
                <w:rFonts w:ascii="Times New Roman" w:eastAsia="Arial" w:hAnsi="Times New Roman" w:cs="Times New Roman"/>
                <w:iCs/>
                <w:color w:val="000000" w:themeColor="text1"/>
                <w:sz w:val="24"/>
                <w:szCs w:val="24"/>
                <w:lang w:eastAsia="ro-RO"/>
              </w:rPr>
              <w:t>înregistreze obligații fiscale restante la bugetul general consolidat, de natura celor administrate de ANAF.</w:t>
            </w:r>
          </w:p>
          <w:p w:rsidR="003D6441" w:rsidRPr="00CF27C9" w:rsidRDefault="003D6441" w:rsidP="003D6441">
            <w:pPr>
              <w:spacing w:after="0" w:line="240" w:lineRule="auto"/>
              <w:ind w:left="74" w:right="124"/>
              <w:jc w:val="both"/>
              <w:rPr>
                <w:rFonts w:ascii="Times New Roman" w:eastAsia="Arial" w:hAnsi="Times New Roman" w:cs="Times New Roman"/>
                <w:bCs/>
                <w:iCs/>
                <w:color w:val="000000" w:themeColor="text1"/>
                <w:sz w:val="24"/>
                <w:szCs w:val="24"/>
                <w:lang w:eastAsia="en-US"/>
              </w:rPr>
            </w:pPr>
            <w:r w:rsidRPr="00CF27C9">
              <w:rPr>
                <w:rFonts w:ascii="Times New Roman" w:eastAsia="Arial" w:hAnsi="Times New Roman" w:cs="Times New Roman"/>
                <w:bCs/>
                <w:iCs/>
                <w:color w:val="000000" w:themeColor="text1"/>
                <w:sz w:val="24"/>
                <w:szCs w:val="24"/>
                <w:lang w:eastAsia="en-US"/>
              </w:rPr>
              <w:t>Totodată, prin această măsură se asigură și corelarea condițiilor de autorizare a antrepozitelor fiscale cu prevederile referitoare la revocarea autorizației de antrepozit fiscal.</w:t>
            </w:r>
          </w:p>
          <w:p w:rsidR="00EC4F90" w:rsidRPr="00CF27C9" w:rsidRDefault="00EC4F90" w:rsidP="003D6441">
            <w:pPr>
              <w:spacing w:after="0" w:line="240" w:lineRule="auto"/>
              <w:ind w:left="74" w:right="124"/>
              <w:jc w:val="both"/>
              <w:rPr>
                <w:rFonts w:ascii="Times New Roman" w:eastAsia="Arial" w:hAnsi="Times New Roman" w:cs="Times New Roman"/>
                <w:bCs/>
                <w:iCs/>
                <w:color w:val="000000" w:themeColor="text1"/>
                <w:sz w:val="24"/>
                <w:szCs w:val="24"/>
                <w:lang w:eastAsia="en-US"/>
              </w:rPr>
            </w:pPr>
          </w:p>
          <w:p w:rsidR="00EC4F90" w:rsidRDefault="00BD0664" w:rsidP="00DB6EEE">
            <w:pPr>
              <w:autoSpaceDE w:val="0"/>
              <w:autoSpaceDN w:val="0"/>
              <w:adjustRightInd w:val="0"/>
              <w:spacing w:after="120" w:line="240" w:lineRule="auto"/>
              <w:contextualSpacing/>
              <w:jc w:val="both"/>
              <w:rPr>
                <w:rFonts w:ascii="Times New Roman" w:hAnsi="Times New Roman" w:cs="Times New Roman"/>
                <w:b/>
                <w:color w:val="000000" w:themeColor="text1"/>
                <w:sz w:val="24"/>
                <w:szCs w:val="24"/>
              </w:rPr>
            </w:pPr>
            <w:r w:rsidRPr="00CF27C9">
              <w:rPr>
                <w:rFonts w:ascii="Times New Roman" w:eastAsia="Arial" w:hAnsi="Times New Roman" w:cs="Times New Roman"/>
                <w:b/>
                <w:bCs/>
                <w:iCs/>
                <w:color w:val="000000" w:themeColor="text1"/>
                <w:sz w:val="24"/>
                <w:szCs w:val="24"/>
                <w:lang w:eastAsia="en-US"/>
              </w:rPr>
              <w:t>H</w:t>
            </w:r>
            <w:r w:rsidR="00EC4F90" w:rsidRPr="00CF27C9">
              <w:rPr>
                <w:rFonts w:ascii="Times New Roman" w:eastAsia="Arial" w:hAnsi="Times New Roman" w:cs="Times New Roman"/>
                <w:b/>
                <w:bCs/>
                <w:iCs/>
                <w:color w:val="000000" w:themeColor="text1"/>
                <w:sz w:val="24"/>
                <w:szCs w:val="24"/>
                <w:lang w:eastAsia="en-US"/>
              </w:rPr>
              <w:t>.</w:t>
            </w:r>
            <w:r w:rsidR="00EC4F90" w:rsidRPr="00CF27C9">
              <w:rPr>
                <w:rFonts w:ascii="Times New Roman" w:eastAsia="Arial" w:hAnsi="Times New Roman" w:cs="Times New Roman"/>
                <w:bCs/>
                <w:iCs/>
                <w:color w:val="000000" w:themeColor="text1"/>
                <w:sz w:val="24"/>
                <w:szCs w:val="24"/>
                <w:lang w:eastAsia="en-US"/>
              </w:rPr>
              <w:t xml:space="preserve"> </w:t>
            </w:r>
            <w:r w:rsidR="00DB6EEE" w:rsidRPr="00CF27C9">
              <w:rPr>
                <w:rFonts w:ascii="Times New Roman" w:hAnsi="Times New Roman" w:cs="Times New Roman"/>
                <w:b/>
                <w:color w:val="000000" w:themeColor="text1"/>
                <w:sz w:val="24"/>
                <w:szCs w:val="24"/>
              </w:rPr>
              <w:t>Titlul IX - Impozite ș</w:t>
            </w:r>
            <w:r w:rsidR="00EC4F90" w:rsidRPr="00CF27C9">
              <w:rPr>
                <w:rFonts w:ascii="Times New Roman" w:hAnsi="Times New Roman" w:cs="Times New Roman"/>
                <w:b/>
                <w:color w:val="000000" w:themeColor="text1"/>
                <w:sz w:val="24"/>
                <w:szCs w:val="24"/>
              </w:rPr>
              <w:t>i taxe locale</w:t>
            </w:r>
          </w:p>
          <w:p w:rsidR="0094135C" w:rsidRPr="0094135C" w:rsidRDefault="0094135C" w:rsidP="00DB6EEE">
            <w:pPr>
              <w:autoSpaceDE w:val="0"/>
              <w:autoSpaceDN w:val="0"/>
              <w:adjustRightInd w:val="0"/>
              <w:spacing w:after="120" w:line="240" w:lineRule="auto"/>
              <w:contextualSpacing/>
              <w:jc w:val="both"/>
              <w:rPr>
                <w:rFonts w:ascii="Times New Roman" w:hAnsi="Times New Roman" w:cs="Times New Roman"/>
                <w:b/>
                <w:color w:val="000000" w:themeColor="text1"/>
                <w:sz w:val="12"/>
                <w:szCs w:val="12"/>
              </w:rPr>
            </w:pPr>
          </w:p>
          <w:p w:rsidR="00EC4F90" w:rsidRPr="00CF27C9" w:rsidRDefault="00EC4F90" w:rsidP="00DB6EEE">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Pentru o mai bună promovare turistică a municipiului București și o utilizare mai eficientă a sum</w:t>
            </w:r>
            <w:r w:rsidR="00DB6EEE" w:rsidRPr="00CF27C9">
              <w:rPr>
                <w:rFonts w:ascii="Times New Roman" w:hAnsi="Times New Roman" w:cs="Times New Roman"/>
                <w:color w:val="000000" w:themeColor="text1"/>
                <w:sz w:val="24"/>
                <w:szCs w:val="24"/>
              </w:rPr>
              <w:t>elor colectate din cazarea turiș</w:t>
            </w:r>
            <w:r w:rsidRPr="00CF27C9">
              <w:rPr>
                <w:rFonts w:ascii="Times New Roman" w:hAnsi="Times New Roman" w:cs="Times New Roman"/>
                <w:color w:val="000000" w:themeColor="text1"/>
                <w:sz w:val="24"/>
                <w:szCs w:val="24"/>
              </w:rPr>
              <w:t>tilor</w:t>
            </w:r>
            <w:r w:rsidR="00DB6EEE" w:rsidRPr="00CF27C9">
              <w:rPr>
                <w:rFonts w:ascii="Times New Roman" w:hAnsi="Times New Roman" w:cs="Times New Roman"/>
                <w:color w:val="000000" w:themeColor="text1"/>
                <w:sz w:val="24"/>
                <w:szCs w:val="24"/>
              </w:rPr>
              <w:t>,</w:t>
            </w:r>
            <w:r w:rsidRPr="00CF27C9">
              <w:rPr>
                <w:rFonts w:ascii="Times New Roman" w:hAnsi="Times New Roman" w:cs="Times New Roman"/>
                <w:color w:val="000000" w:themeColor="text1"/>
                <w:sz w:val="24"/>
                <w:szCs w:val="24"/>
              </w:rPr>
              <w:t xml:space="preserve"> se propune ca la nivelul municipiului București, taxa pentru promovarea turistică să se facă venit l</w:t>
            </w:r>
            <w:r w:rsidR="000B1E1E" w:rsidRPr="00CF27C9">
              <w:rPr>
                <w:rFonts w:ascii="Times New Roman" w:hAnsi="Times New Roman" w:cs="Times New Roman"/>
                <w:color w:val="000000" w:themeColor="text1"/>
                <w:sz w:val="24"/>
                <w:szCs w:val="24"/>
              </w:rPr>
              <w:t xml:space="preserve">a bugetul local al </w:t>
            </w:r>
            <w:r w:rsidR="008557ED" w:rsidRPr="00CF27C9">
              <w:rPr>
                <w:rFonts w:ascii="Times New Roman" w:hAnsi="Times New Roman" w:cs="Times New Roman"/>
                <w:color w:val="000000" w:themeColor="text1"/>
                <w:sz w:val="24"/>
                <w:szCs w:val="24"/>
              </w:rPr>
              <w:t>m</w:t>
            </w:r>
            <w:r w:rsidRPr="00CF27C9">
              <w:rPr>
                <w:rFonts w:ascii="Times New Roman" w:hAnsi="Times New Roman" w:cs="Times New Roman"/>
                <w:color w:val="000000" w:themeColor="text1"/>
                <w:sz w:val="24"/>
                <w:szCs w:val="24"/>
              </w:rPr>
              <w:t>unicipiului București.</w:t>
            </w:r>
          </w:p>
          <w:p w:rsidR="00E673AF" w:rsidRPr="00CF27C9" w:rsidRDefault="00E673AF" w:rsidP="00DB6EEE">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E92479" w:rsidRPr="00CF27C9" w:rsidRDefault="00E92479" w:rsidP="00E92479">
            <w:pPr>
              <w:suppressAutoHyphens w:val="0"/>
              <w:autoSpaceDE w:val="0"/>
              <w:autoSpaceDN w:val="0"/>
              <w:adjustRightInd w:val="0"/>
              <w:spacing w:after="120"/>
              <w:contextualSpacing/>
              <w:jc w:val="both"/>
              <w:rPr>
                <w:rFonts w:ascii="Times New Roman" w:hAnsi="Times New Roman" w:cs="Times New Roman"/>
                <w:b/>
                <w:color w:val="000000" w:themeColor="text1"/>
                <w:sz w:val="24"/>
                <w:szCs w:val="24"/>
              </w:rPr>
            </w:pPr>
            <w:r w:rsidRPr="00CF27C9">
              <w:rPr>
                <w:rFonts w:ascii="Times New Roman" w:hAnsi="Times New Roman" w:cs="Times New Roman"/>
                <w:b/>
                <w:color w:val="000000" w:themeColor="text1"/>
                <w:sz w:val="24"/>
                <w:szCs w:val="24"/>
              </w:rPr>
              <w:t>Legea nr. 207/2015 privind Codul de procedură fiscală, cu modificările și completările ulterioare</w:t>
            </w:r>
          </w:p>
          <w:p w:rsidR="00645174" w:rsidRPr="00CF27C9" w:rsidRDefault="003A412F" w:rsidP="00645174">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Modificarea și completarea Codului de procedură fiscală, în sensul:</w:t>
            </w:r>
            <w:r w:rsidR="00645174" w:rsidRPr="00CF27C9">
              <w:rPr>
                <w:rFonts w:ascii="Times New Roman" w:hAnsi="Times New Roman" w:cs="Times New Roman"/>
                <w:color w:val="000000" w:themeColor="text1"/>
                <w:sz w:val="24"/>
                <w:szCs w:val="24"/>
              </w:rPr>
              <w:t xml:space="preserve"> </w:t>
            </w:r>
          </w:p>
          <w:p w:rsidR="00645174" w:rsidRPr="00CF27C9" w:rsidRDefault="00645174" w:rsidP="00645174">
            <w:pPr>
              <w:widowControl w:val="0"/>
              <w:numPr>
                <w:ilvl w:val="0"/>
                <w:numId w:val="14"/>
              </w:numPr>
              <w:tabs>
                <w:tab w:val="left" w:pos="142"/>
              </w:tabs>
              <w:suppressAutoHyphens w:val="0"/>
              <w:autoSpaceDE w:val="0"/>
              <w:autoSpaceDN w:val="0"/>
              <w:adjustRightInd w:val="0"/>
              <w:spacing w:after="0" w:line="240" w:lineRule="auto"/>
              <w:ind w:left="0" w:right="6" w:firstLine="0"/>
              <w:jc w:val="both"/>
              <w:textAlignment w:val="baseline"/>
              <w:rPr>
                <w:rFonts w:ascii="Times New Roman" w:hAnsi="Times New Roman" w:cs="Times New Roman"/>
                <w:color w:val="000000" w:themeColor="text1"/>
                <w:sz w:val="24"/>
                <w:szCs w:val="24"/>
                <w:lang w:eastAsia="ro-RO"/>
              </w:rPr>
            </w:pPr>
            <w:r w:rsidRPr="00CF27C9">
              <w:rPr>
                <w:rFonts w:ascii="Times New Roman" w:hAnsi="Times New Roman" w:cs="Times New Roman"/>
                <w:bCs/>
                <w:color w:val="000000" w:themeColor="text1"/>
                <w:sz w:val="24"/>
                <w:szCs w:val="24"/>
              </w:rPr>
              <w:t>ca cererea de eșalonare la plată să poată fi însoțită de o propunere de grafic;</w:t>
            </w:r>
          </w:p>
          <w:p w:rsidR="00645174" w:rsidRPr="00CF27C9" w:rsidRDefault="00645174" w:rsidP="00645174">
            <w:pPr>
              <w:widowControl w:val="0"/>
              <w:numPr>
                <w:ilvl w:val="0"/>
                <w:numId w:val="14"/>
              </w:numPr>
              <w:tabs>
                <w:tab w:val="left" w:pos="142"/>
              </w:tabs>
              <w:suppressAutoHyphens w:val="0"/>
              <w:autoSpaceDE w:val="0"/>
              <w:autoSpaceDN w:val="0"/>
              <w:adjustRightInd w:val="0"/>
              <w:spacing w:after="0" w:line="240" w:lineRule="auto"/>
              <w:ind w:left="0" w:right="6" w:firstLine="0"/>
              <w:jc w:val="both"/>
              <w:textAlignment w:val="baseline"/>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 xml:space="preserve">eliminării condiției de depunere de către debitor a </w:t>
            </w:r>
            <w:r w:rsidRPr="00CF27C9">
              <w:rPr>
                <w:rFonts w:ascii="Times New Roman" w:hAnsi="Times New Roman" w:cs="Times New Roman"/>
                <w:color w:val="000000" w:themeColor="text1"/>
                <w:sz w:val="24"/>
                <w:szCs w:val="24"/>
                <w:lang w:eastAsia="ro-RO"/>
              </w:rPr>
              <w:t>programului de restructurare sau de redresare financiară ori a altor informaţii şi/sau documente și menționarea î</w:t>
            </w:r>
            <w:r w:rsidRPr="00CF27C9">
              <w:rPr>
                <w:rFonts w:ascii="Times New Roman" w:hAnsi="Times New Roman" w:cs="Times New Roman"/>
                <w:bCs/>
                <w:color w:val="000000" w:themeColor="text1"/>
                <w:sz w:val="24"/>
                <w:szCs w:val="24"/>
              </w:rPr>
              <w:t xml:space="preserve">n cerere a faptului că </w:t>
            </w:r>
            <w:r w:rsidRPr="00CF27C9">
              <w:rPr>
                <w:rFonts w:ascii="Times New Roman" w:hAnsi="Times New Roman" w:cs="Times New Roman"/>
                <w:color w:val="000000" w:themeColor="text1"/>
                <w:sz w:val="24"/>
                <w:szCs w:val="24"/>
                <w:lang w:eastAsia="ro-RO"/>
              </w:rPr>
              <w:t>se află în dificultate generată de lipsa temporară de disponibilităţi băneşti şi că are capacitate financiară de plată pe perioada de eşalonare la plată</w:t>
            </w:r>
            <w:r w:rsidRPr="00CF27C9">
              <w:rPr>
                <w:rFonts w:ascii="Times New Roman" w:hAnsi="Times New Roman" w:cs="Times New Roman"/>
                <w:bCs/>
                <w:color w:val="000000" w:themeColor="text1"/>
                <w:sz w:val="24"/>
                <w:szCs w:val="24"/>
              </w:rPr>
              <w:t>;</w:t>
            </w:r>
          </w:p>
          <w:p w:rsidR="00645174" w:rsidRPr="00CF27C9" w:rsidRDefault="00645174" w:rsidP="00645174">
            <w:pPr>
              <w:widowControl w:val="0"/>
              <w:numPr>
                <w:ilvl w:val="0"/>
                <w:numId w:val="14"/>
              </w:numPr>
              <w:tabs>
                <w:tab w:val="left" w:pos="142"/>
              </w:tabs>
              <w:autoSpaceDN w:val="0"/>
              <w:spacing w:after="0" w:line="240" w:lineRule="auto"/>
              <w:ind w:left="0" w:right="4" w:firstLine="0"/>
              <w:jc w:val="both"/>
              <w:textAlignment w:val="baseline"/>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ca în procedura de soluționare a cererii să nu se mai emită acord de principiu;</w:t>
            </w:r>
          </w:p>
          <w:p w:rsidR="00645174" w:rsidRPr="00CF27C9" w:rsidRDefault="00645174" w:rsidP="00645174">
            <w:pPr>
              <w:widowControl w:val="0"/>
              <w:numPr>
                <w:ilvl w:val="0"/>
                <w:numId w:val="14"/>
              </w:numPr>
              <w:tabs>
                <w:tab w:val="left" w:pos="142"/>
              </w:tabs>
              <w:autoSpaceDN w:val="0"/>
              <w:spacing w:after="0" w:line="240" w:lineRule="auto"/>
              <w:ind w:left="0" w:right="4" w:firstLine="0"/>
              <w:jc w:val="both"/>
              <w:textAlignment w:val="baseline"/>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soluționării cererii în termen 15 zile de la înregistrarea acesteia, prin emiterea unei decizii de eșalonare la plată însoțită de graficul de eșalonare;</w:t>
            </w:r>
          </w:p>
          <w:p w:rsidR="00645174" w:rsidRPr="00CF27C9" w:rsidRDefault="00645174" w:rsidP="00645174">
            <w:pPr>
              <w:widowControl w:val="0"/>
              <w:numPr>
                <w:ilvl w:val="0"/>
                <w:numId w:val="14"/>
              </w:numPr>
              <w:tabs>
                <w:tab w:val="left" w:pos="142"/>
              </w:tabs>
              <w:autoSpaceDN w:val="0"/>
              <w:spacing w:after="0" w:line="240" w:lineRule="auto"/>
              <w:ind w:left="0" w:right="4" w:firstLine="0"/>
              <w:jc w:val="both"/>
              <w:textAlignment w:val="baseline"/>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ca în grafic să fie cuprinse atât obligațiile fiscale cât și accesoriile</w:t>
            </w:r>
            <w:r w:rsidRPr="00CF27C9">
              <w:rPr>
                <w:rFonts w:ascii="Times New Roman" w:hAnsi="Times New Roman" w:cs="Times New Roman"/>
                <w:iCs/>
                <w:color w:val="000000" w:themeColor="text1"/>
                <w:sz w:val="24"/>
                <w:szCs w:val="24"/>
                <w:lang w:eastAsia="ro-RO"/>
              </w:rPr>
              <w:t xml:space="preserve"> cuprinse în certificatul de atestare fiscală. Penalităţile de întârziere cuprinse în certificatul de atestare fiscală nu se amână la plată şi se includ în eşalonare.</w:t>
            </w:r>
          </w:p>
          <w:p w:rsidR="003A412F" w:rsidRPr="00CF27C9" w:rsidRDefault="00645174" w:rsidP="00645174">
            <w:pPr>
              <w:widowControl w:val="0"/>
              <w:numPr>
                <w:ilvl w:val="0"/>
                <w:numId w:val="14"/>
              </w:numPr>
              <w:tabs>
                <w:tab w:val="left" w:pos="142"/>
              </w:tabs>
              <w:autoSpaceDN w:val="0"/>
              <w:spacing w:after="0" w:line="240" w:lineRule="auto"/>
              <w:ind w:left="0" w:right="4" w:firstLine="0"/>
              <w:jc w:val="both"/>
              <w:textAlignment w:val="baseline"/>
              <w:rPr>
                <w:rFonts w:ascii="Times New Roman" w:hAnsi="Times New Roman" w:cs="Times New Roman"/>
                <w:bCs/>
                <w:color w:val="000000" w:themeColor="text1"/>
                <w:sz w:val="24"/>
                <w:szCs w:val="24"/>
              </w:rPr>
            </w:pPr>
            <w:r w:rsidRPr="00CF27C9">
              <w:rPr>
                <w:rFonts w:ascii="Times New Roman" w:hAnsi="Times New Roman" w:cs="Times New Roman"/>
                <w:iCs/>
                <w:color w:val="000000" w:themeColor="text1"/>
                <w:sz w:val="24"/>
                <w:szCs w:val="24"/>
                <w:lang w:eastAsia="ro-RO"/>
              </w:rPr>
              <w:t>ca după finalizarea eșalonării la plată să se calculeaze dobânzile datorate pe perioada eșalonării și se emite decizie</w:t>
            </w:r>
            <w:r w:rsidRPr="00CF27C9">
              <w:rPr>
                <w:rFonts w:ascii="Times New Roman" w:hAnsi="Times New Roman" w:cs="Times New Roman"/>
                <w:i/>
                <w:iCs/>
                <w:color w:val="000000" w:themeColor="text1"/>
                <w:sz w:val="24"/>
                <w:szCs w:val="24"/>
                <w:lang w:eastAsia="ro-RO"/>
              </w:rPr>
              <w:t>.</w:t>
            </w:r>
            <w:r w:rsidRPr="00CF27C9">
              <w:rPr>
                <w:rFonts w:ascii="Times New Roman" w:hAnsi="Times New Roman" w:cs="Times New Roman"/>
                <w:bCs/>
                <w:color w:val="000000" w:themeColor="text1"/>
                <w:sz w:val="24"/>
                <w:szCs w:val="24"/>
              </w:rPr>
              <w:t xml:space="preserve"> </w:t>
            </w:r>
          </w:p>
          <w:p w:rsidR="003A412F" w:rsidRPr="00CF27C9" w:rsidRDefault="003A412F" w:rsidP="003A412F">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creării posibilității ca, odată cu depunerea cererii de eșalonare, contribuabilul, indiferent de specificul activității, să anexeze și propunerea de grafic privind ratele de eșalonare, astfel încât presiunea financiară să fie adaptată atât specificului activității sale, cât și propriilor nevoi de finanțare;</w:t>
            </w:r>
          </w:p>
          <w:p w:rsidR="003A412F" w:rsidRPr="00CF27C9" w:rsidRDefault="003A412F" w:rsidP="003A412F">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eliminării condiției referitoare la  nedeținerea de către administratori şi/sau asociaţi a unei astfel de calități la persoane juridice care au fost lichidate sau la care a fost declanşată procedura insolvenţei şi la care au rămas obligaţii fiscale neachitate;</w:t>
            </w:r>
          </w:p>
          <w:p w:rsidR="003A412F" w:rsidRPr="00CF27C9" w:rsidRDefault="003A412F" w:rsidP="003A412F">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includerii condiției ca administratorii şi/sau asociaţii să nu aibă înscrise fapte în cazierul fiscal;</w:t>
            </w:r>
          </w:p>
          <w:p w:rsidR="003A412F" w:rsidRPr="00CF27C9" w:rsidRDefault="003A412F" w:rsidP="003A412F">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modificării condiției referitoare la neînregistrarea de pierderi contabile și raportarea la neînregistrarea de pierderi din activitatea de exploatare, respectiv eliminarea potențialilor factori externi, care nu au legătură cu deciziile de business.</w:t>
            </w:r>
          </w:p>
          <w:p w:rsidR="003A412F" w:rsidRPr="00CF27C9" w:rsidRDefault="003A412F" w:rsidP="003A412F">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În vederea încurajării contribuabililor de a solicita eșalonarea la plată atunci când înregistrează dificultăți financiare temporare și a accelerării procedurii de rambursare a TVA pentru contribuabilii aflați într-o astfel de situație, este necesară includerea prevederii ca taxa pe valoarea adăugată solicitată la rambursare prin deconturile cu sumă negativă de taxă pe valoarea adăugată cu opţiune de rambursare să se ramburseze cu efectuarea, ulterior, a inspecţiei fiscale, în cazul contribuabililor care beneficiază de aprobarea unei eșalonări la plată, pe perioada menținerii valabilității eșalonării. Procedura propusă este general aplicabilă tuturor contribuabililor care beneficiază de eșalonări la plată, indiferent de categoria de risc a acestora din perspectiva eșalonării.</w:t>
            </w:r>
          </w:p>
          <w:p w:rsidR="003A412F" w:rsidRPr="00CF27C9" w:rsidRDefault="003A412F" w:rsidP="003A412F">
            <w:pPr>
              <w:spacing w:after="0" w:line="240" w:lineRule="auto"/>
              <w:rPr>
                <w:rFonts w:ascii="Times New Roman" w:hAnsi="Times New Roman" w:cs="Times New Roman"/>
                <w:color w:val="000000" w:themeColor="text1"/>
                <w:sz w:val="24"/>
                <w:szCs w:val="24"/>
              </w:rPr>
            </w:pPr>
          </w:p>
          <w:p w:rsidR="003A3B90" w:rsidRPr="00CF27C9" w:rsidRDefault="003A3B90" w:rsidP="00B63E32">
            <w:pPr>
              <w:tabs>
                <w:tab w:val="left" w:pos="7592"/>
              </w:tabs>
              <w:spacing w:after="0" w:line="240" w:lineRule="auto"/>
              <w:ind w:right="144"/>
              <w:jc w:val="both"/>
              <w:rPr>
                <w:rFonts w:ascii="Times New Roman" w:hAnsi="Times New Roman" w:cs="Times New Roman"/>
                <w:b/>
                <w:color w:val="000000" w:themeColor="text1"/>
                <w:sz w:val="24"/>
                <w:szCs w:val="24"/>
              </w:rPr>
            </w:pPr>
            <w:r w:rsidRPr="00CF27C9">
              <w:rPr>
                <w:rFonts w:ascii="Times New Roman" w:hAnsi="Times New Roman" w:cs="Times New Roman"/>
                <w:b/>
                <w:bCs/>
                <w:color w:val="000000" w:themeColor="text1"/>
                <w:sz w:val="24"/>
                <w:szCs w:val="24"/>
              </w:rPr>
              <w:t xml:space="preserve">Ordonanța de urgență </w:t>
            </w:r>
            <w:r w:rsidRPr="00CF27C9">
              <w:rPr>
                <w:rFonts w:ascii="Times New Roman" w:hAnsi="Times New Roman" w:cs="Times New Roman"/>
                <w:b/>
                <w:color w:val="000000" w:themeColor="text1"/>
                <w:sz w:val="24"/>
                <w:szCs w:val="24"/>
              </w:rPr>
              <w:t>a Guvernului nr. 52/2017 privind restituirea sumelor reprezentând taxa specială pentru autoturisme și autovehicule, taxa pe poluare pentru autovehicule, taxa pentru emisiile poluante provenite de la autovehicule și timbrul de mediu pentru autovehicule, cu completările ulterioare</w:t>
            </w:r>
          </w:p>
          <w:p w:rsidR="003A3B90" w:rsidRPr="0094135C" w:rsidRDefault="003A3B90" w:rsidP="003A3B90">
            <w:pPr>
              <w:spacing w:after="0" w:line="240" w:lineRule="auto"/>
              <w:ind w:right="124"/>
              <w:jc w:val="both"/>
              <w:rPr>
                <w:rFonts w:ascii="Times New Roman" w:hAnsi="Times New Roman" w:cs="Times New Roman"/>
                <w:bCs/>
                <w:color w:val="000000" w:themeColor="text1"/>
                <w:sz w:val="12"/>
                <w:szCs w:val="12"/>
              </w:rPr>
            </w:pPr>
          </w:p>
          <w:p w:rsidR="001F658A" w:rsidRPr="00CF27C9" w:rsidRDefault="001F658A" w:rsidP="001F658A">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Cs/>
                <w:color w:val="000000" w:themeColor="text1"/>
                <w:sz w:val="24"/>
                <w:szCs w:val="24"/>
              </w:rPr>
              <w:t>Modificarea Ordonanței de urgență a Guvernului nr. 52/2017 privind restituirea sumelor reprezentând taxa specială pentru autoturisme și autovehicule, taxa pe poluare pentru</w:t>
            </w:r>
            <w:r w:rsidRPr="00CF27C9">
              <w:rPr>
                <w:rFonts w:ascii="Times New Roman" w:hAnsi="Times New Roman" w:cs="Times New Roman"/>
                <w:color w:val="000000" w:themeColor="text1"/>
                <w:sz w:val="24"/>
                <w:szCs w:val="24"/>
              </w:rPr>
              <w:t xml:space="preserve"> autovehicule, taxa pentru emisiile poluante provenite de la autovehicule și timbrul de mediu pentru autovehicule, cu completările ulterioare are la bază rațiuni de simplificare a procedurii administrative de restituire a taxelor în cauză, întrucât datele privitoare la plata taxei speciale pentru autoturisme și autovehicule/taxei pe poluare pentru autovehicule/taxei pentru emisiile poluante provenite de la autovehicule/timbrului de mediu pentru autovehicule pot fi verificate de organul fiscal în baza de date pe care o deține.</w:t>
            </w:r>
          </w:p>
          <w:p w:rsidR="001F658A" w:rsidRPr="00CF27C9" w:rsidRDefault="001F658A" w:rsidP="001F658A">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De asemenea, organul fiscal central poate verifica informațiile privind datele de identificare ale autovehiculului și a celor referitoare la înmatricularea acestuia, indicate de contribuabil în cererea de restituire, prin interogarea, pe baza protocoalelor existente,  a bazelor de date ce aparțin altor instituții.</w:t>
            </w:r>
          </w:p>
          <w:p w:rsidR="001F658A" w:rsidRPr="00CF27C9" w:rsidRDefault="001F658A" w:rsidP="001F658A">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Ca atare, nu se impune efectuarea de către contribuabil a unor operațiuni suplimentare, cum ar fi aceea de anexare a documentelor de plată sau a cărții de identitate a vehiculului și a certificatului de înmatriculare. </w:t>
            </w:r>
          </w:p>
          <w:p w:rsidR="001F658A" w:rsidRPr="00CF27C9" w:rsidRDefault="001F658A" w:rsidP="001F658A">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În acest sens, se propune modificarea OUG nr.52/2017 în sensul eliminării obligativității anexării la cererea de restituire a documentelor doveditoare a plăților, precum și a copiilor cărții de identitate a vehiculului și a certificatului de înmatriculare.</w:t>
            </w:r>
          </w:p>
          <w:p w:rsidR="001F658A" w:rsidRPr="00CF27C9" w:rsidRDefault="001F658A" w:rsidP="001F658A">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Pe cale de consecință, normele metodologice de aplicare a Ordonanței de urgență a Guvernului nr.52/2017 și modelul cererii de restituire se vor modifica în mod corespunzător.</w:t>
            </w:r>
          </w:p>
          <w:p w:rsidR="001F658A" w:rsidRPr="00CF27C9" w:rsidRDefault="001F658A" w:rsidP="004268C1">
            <w:pPr>
              <w:spacing w:after="0" w:line="240" w:lineRule="auto"/>
              <w:jc w:val="both"/>
              <w:rPr>
                <w:rFonts w:ascii="Times New Roman" w:hAnsi="Times New Roman" w:cs="Times New Roman"/>
                <w:b/>
                <w:color w:val="000000" w:themeColor="text1"/>
                <w:sz w:val="24"/>
                <w:szCs w:val="24"/>
              </w:rPr>
            </w:pPr>
          </w:p>
          <w:p w:rsidR="004268C1" w:rsidRPr="00CF27C9" w:rsidRDefault="00EE0738" w:rsidP="004268C1">
            <w:pPr>
              <w:spacing w:after="0" w:line="240" w:lineRule="auto"/>
              <w:jc w:val="both"/>
              <w:rPr>
                <w:rFonts w:ascii="Times New Roman" w:hAnsi="Times New Roman" w:cs="Times New Roman"/>
                <w:b/>
                <w:color w:val="000000" w:themeColor="text1"/>
                <w:sz w:val="24"/>
                <w:szCs w:val="24"/>
              </w:rPr>
            </w:pPr>
            <w:r w:rsidRPr="00CF27C9">
              <w:rPr>
                <w:rFonts w:ascii="Times New Roman" w:hAnsi="Times New Roman" w:cs="Times New Roman"/>
                <w:b/>
                <w:color w:val="000000" w:themeColor="text1"/>
                <w:sz w:val="24"/>
                <w:szCs w:val="24"/>
              </w:rPr>
              <w:t>Ordonanța de urgență a Guvernului nr. 62/</w:t>
            </w:r>
            <w:r w:rsidR="004268C1" w:rsidRPr="00CF27C9">
              <w:rPr>
                <w:rFonts w:ascii="Times New Roman" w:hAnsi="Times New Roman" w:cs="Times New Roman"/>
                <w:b/>
                <w:color w:val="000000" w:themeColor="text1"/>
                <w:sz w:val="24"/>
                <w:szCs w:val="24"/>
              </w:rPr>
              <w:t xml:space="preserve">2011 privind stabilirea cadrului financiar general pentru utilizarea contribuției financiare elvețiene nerambursabile acordate României prin intermediul Programului de cooperare elvețiano-român vizând reducerea disparităților economice și sociale în cadrul Uniunii Europene extinse, precum și a contribuției naționale aferente acestei asistențe, aprobată prin Legea nr. 2/2012, cu modificările și completările ulterioare </w:t>
            </w:r>
          </w:p>
          <w:p w:rsidR="004268C1" w:rsidRPr="0094135C" w:rsidRDefault="004268C1" w:rsidP="004268C1">
            <w:pPr>
              <w:spacing w:after="0" w:line="240" w:lineRule="auto"/>
              <w:jc w:val="both"/>
              <w:rPr>
                <w:rFonts w:ascii="Times New Roman" w:hAnsi="Times New Roman" w:cs="Times New Roman"/>
                <w:b/>
                <w:color w:val="000000" w:themeColor="text1"/>
                <w:sz w:val="12"/>
                <w:szCs w:val="12"/>
              </w:rPr>
            </w:pPr>
          </w:p>
          <w:p w:rsidR="00EE0738" w:rsidRPr="00CF27C9" w:rsidRDefault="00EE0738" w:rsidP="00EE0738">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În scopul reglementării fluxurilor financiare pentru proiectele dezvoltate în cadrul asistenței aferente componentei Fonduri Tematice, pentru proiectele ale căror cheltuieli sunt prefinanțate total sau parțial de către beneficiarii entități publice de la nivel central sau local, propunem:</w:t>
            </w:r>
          </w:p>
          <w:p w:rsidR="00EE0738" w:rsidRPr="00CF27C9" w:rsidRDefault="00EE0738" w:rsidP="00EE0738">
            <w:pPr>
              <w:numPr>
                <w:ilvl w:val="0"/>
                <w:numId w:val="9"/>
              </w:numPr>
              <w:tabs>
                <w:tab w:val="left" w:pos="355"/>
              </w:tabs>
              <w:spacing w:after="0" w:line="240" w:lineRule="auto"/>
              <w:ind w:left="0" w:firstLine="0"/>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reglementarea modului de cuprindere în buget a sumelor aferente prefinanțării valorii totale sau a unei părți a acesteia, în conformitate cu prevederile acordurilor de activitate semnate de către beneficiari cu Organismele Intermediare Elvețiene, a modalității prin care fondurile cuprinse în bugetele ordonatorilor de credite sunt utilizate, precum și a modalității de rambursare a cheltuielilor către beneficiari;</w:t>
            </w:r>
          </w:p>
          <w:p w:rsidR="00EE0738" w:rsidRPr="00CF27C9" w:rsidRDefault="00EE0738" w:rsidP="00EE0738">
            <w:pPr>
              <w:numPr>
                <w:ilvl w:val="0"/>
                <w:numId w:val="9"/>
              </w:numPr>
              <w:tabs>
                <w:tab w:val="left" w:pos="355"/>
              </w:tabs>
              <w:spacing w:after="0" w:line="240" w:lineRule="auto"/>
              <w:ind w:left="0" w:firstLine="0"/>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stabilirea categoriilor de beneficiari pentru care sunt aplicabile fluxurile financiare;  </w:t>
            </w:r>
          </w:p>
          <w:p w:rsidR="00EE0738" w:rsidRPr="00CF27C9" w:rsidRDefault="00EE0738" w:rsidP="00EE0738">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stabilirea faptului că proiectele implementate în cadrul componentei Fonduri Tematice sunt considerate acțiuni multianuale; așadar angajamentele legale, inclusiv contractele de achiziții publice aferente acestor proiectelor pot fi anuale sau multianuale.</w:t>
            </w:r>
          </w:p>
          <w:p w:rsidR="00F645A2" w:rsidRPr="00CF27C9" w:rsidRDefault="00F645A2" w:rsidP="003A3B90">
            <w:pPr>
              <w:spacing w:after="0" w:line="240" w:lineRule="auto"/>
              <w:ind w:left="74" w:right="124"/>
              <w:jc w:val="both"/>
              <w:rPr>
                <w:rFonts w:ascii="Times New Roman" w:hAnsi="Times New Roman" w:cs="Times New Roman"/>
                <w:color w:val="000000" w:themeColor="text1"/>
                <w:sz w:val="24"/>
                <w:szCs w:val="24"/>
              </w:rPr>
            </w:pPr>
          </w:p>
          <w:p w:rsidR="00F645A2" w:rsidRPr="00CF27C9" w:rsidRDefault="00B63E32" w:rsidP="00F645A2">
            <w:pPr>
              <w:suppressAutoHyphens w:val="0"/>
              <w:spacing w:after="0" w:line="240" w:lineRule="auto"/>
              <w:ind w:right="190"/>
              <w:jc w:val="both"/>
              <w:rPr>
                <w:rFonts w:ascii="Times New Roman" w:hAnsi="Times New Roman" w:cs="Times New Roman"/>
                <w:b/>
                <w:color w:val="000000" w:themeColor="text1"/>
                <w:sz w:val="24"/>
                <w:szCs w:val="24"/>
                <w:lang w:val="en-US" w:eastAsia="en-GB"/>
              </w:rPr>
            </w:pPr>
            <w:r w:rsidRPr="00CF27C9">
              <w:rPr>
                <w:rFonts w:ascii="Times New Roman" w:hAnsi="Times New Roman" w:cs="Times New Roman"/>
                <w:b/>
                <w:color w:val="000000" w:themeColor="text1"/>
                <w:sz w:val="24"/>
                <w:szCs w:val="24"/>
              </w:rPr>
              <w:t>Legea nr. 3</w:t>
            </w:r>
            <w:r w:rsidR="00F645A2" w:rsidRPr="00CF27C9">
              <w:rPr>
                <w:rFonts w:ascii="Times New Roman" w:hAnsi="Times New Roman" w:cs="Times New Roman"/>
                <w:b/>
                <w:color w:val="000000" w:themeColor="text1"/>
                <w:sz w:val="24"/>
                <w:szCs w:val="24"/>
              </w:rPr>
              <w:t xml:space="preserve">0/2018 </w:t>
            </w:r>
            <w:r w:rsidR="00F645A2" w:rsidRPr="00CF27C9">
              <w:rPr>
                <w:rFonts w:ascii="Times New Roman" w:hAnsi="Times New Roman" w:cs="Times New Roman"/>
                <w:b/>
                <w:color w:val="000000" w:themeColor="text1"/>
                <w:sz w:val="24"/>
                <w:szCs w:val="24"/>
                <w:lang w:val="en-US" w:eastAsia="en-GB"/>
              </w:rPr>
              <w:t>pentru completarea art. 30 din Legea nr. 207/2015 privind Codul de procedură fiscal</w:t>
            </w:r>
            <w:r w:rsidR="00AA4C90" w:rsidRPr="00CF27C9">
              <w:rPr>
                <w:rFonts w:ascii="Times New Roman" w:hAnsi="Times New Roman" w:cs="Times New Roman"/>
                <w:b/>
                <w:color w:val="000000" w:themeColor="text1"/>
                <w:sz w:val="24"/>
                <w:szCs w:val="24"/>
                <w:lang w:val="en-US" w:eastAsia="en-GB"/>
              </w:rPr>
              <w:t>ă</w:t>
            </w:r>
          </w:p>
          <w:p w:rsidR="00F645A2" w:rsidRPr="0094135C" w:rsidRDefault="00F645A2" w:rsidP="00F645A2">
            <w:pPr>
              <w:suppressAutoHyphens w:val="0"/>
              <w:spacing w:after="0" w:line="240" w:lineRule="auto"/>
              <w:ind w:right="190"/>
              <w:jc w:val="both"/>
              <w:rPr>
                <w:rFonts w:ascii="Times New Roman" w:hAnsi="Times New Roman" w:cs="Times New Roman"/>
                <w:b/>
                <w:color w:val="000000" w:themeColor="text1"/>
                <w:sz w:val="12"/>
                <w:szCs w:val="12"/>
                <w:lang w:val="en-US" w:eastAsia="en-GB"/>
              </w:rPr>
            </w:pPr>
          </w:p>
          <w:p w:rsidR="00F645A2" w:rsidRPr="00CF27C9" w:rsidRDefault="00F645A2" w:rsidP="00F645A2">
            <w:pPr>
              <w:autoSpaceDE w:val="0"/>
              <w:autoSpaceDN w:val="0"/>
              <w:adjustRightInd w:val="0"/>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Prorogarea termenului de administrare de către organul fiscal de la nivel judeţean sau al municipiului Bucureşti a contribuabililor mijlocii, de la 1 aprilie 2018 la 1 august 2018.</w:t>
            </w:r>
          </w:p>
          <w:p w:rsidR="00F645A2" w:rsidRPr="00CF27C9" w:rsidRDefault="00F645A2" w:rsidP="003A3B90">
            <w:pPr>
              <w:spacing w:after="0" w:line="240" w:lineRule="auto"/>
              <w:ind w:left="74" w:right="124"/>
              <w:jc w:val="both"/>
              <w:rPr>
                <w:rFonts w:ascii="Times New Roman" w:eastAsia="Arial" w:hAnsi="Times New Roman" w:cs="Times New Roman"/>
                <w:color w:val="000000" w:themeColor="text1"/>
                <w:sz w:val="24"/>
                <w:szCs w:val="24"/>
                <w:lang w:eastAsia="en-US"/>
              </w:rPr>
            </w:pPr>
          </w:p>
        </w:tc>
      </w:tr>
      <w:tr w:rsidR="00CF27C9" w:rsidRPr="00CF27C9" w:rsidTr="00FF5231">
        <w:trPr>
          <w:trHeight w:val="688"/>
        </w:trPr>
        <w:tc>
          <w:tcPr>
            <w:tcW w:w="2821"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bCs/>
                <w:color w:val="000000" w:themeColor="text1"/>
                <w:sz w:val="24"/>
                <w:szCs w:val="24"/>
              </w:rPr>
            </w:pPr>
            <w:r w:rsidRPr="00CF27C9">
              <w:rPr>
                <w:rFonts w:ascii="Times New Roman" w:hAnsi="Times New Roman" w:cs="Times New Roman"/>
                <w:b/>
                <w:bCs/>
                <w:color w:val="000000" w:themeColor="text1"/>
                <w:sz w:val="24"/>
                <w:szCs w:val="24"/>
              </w:rPr>
              <w:t xml:space="preserve">  3. Alte informații</w:t>
            </w:r>
          </w:p>
        </w:tc>
        <w:tc>
          <w:tcPr>
            <w:tcW w:w="7994" w:type="dxa"/>
            <w:gridSpan w:val="10"/>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both"/>
              <w:rPr>
                <w:color w:val="000000" w:themeColor="text1"/>
              </w:rPr>
            </w:pPr>
            <w:r w:rsidRPr="00CF27C9">
              <w:rPr>
                <w:rFonts w:ascii="Times New Roman" w:hAnsi="Times New Roman" w:cs="Times New Roman"/>
                <w:bCs/>
                <w:color w:val="000000" w:themeColor="text1"/>
                <w:sz w:val="24"/>
                <w:szCs w:val="24"/>
              </w:rPr>
              <w:t>Nu este cazul.</w:t>
            </w:r>
          </w:p>
        </w:tc>
      </w:tr>
      <w:tr w:rsidR="00CF27C9" w:rsidRPr="00CF27C9" w:rsidTr="00C140E8">
        <w:trPr>
          <w:trHeight w:val="852"/>
        </w:trPr>
        <w:tc>
          <w:tcPr>
            <w:tcW w:w="10815" w:type="dxa"/>
            <w:gridSpan w:val="11"/>
            <w:tcBorders>
              <w:top w:val="single" w:sz="4" w:space="0" w:color="000001"/>
              <w:left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Secțiunea a 3-a</w:t>
            </w:r>
          </w:p>
          <w:p w:rsidR="00401ADC" w:rsidRPr="00CF27C9" w:rsidRDefault="00A63A27">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Impactul socioeconomic al proiectului de act normativ</w:t>
            </w:r>
          </w:p>
          <w:p w:rsidR="00401ADC" w:rsidRPr="00CF27C9" w:rsidRDefault="00401ADC">
            <w:pPr>
              <w:spacing w:after="0" w:line="240" w:lineRule="auto"/>
              <w:jc w:val="center"/>
              <w:rPr>
                <w:rFonts w:ascii="Times New Roman" w:hAnsi="Times New Roman" w:cs="Times New Roman"/>
                <w:b/>
                <w:bCs/>
                <w:color w:val="000000" w:themeColor="text1"/>
                <w:sz w:val="24"/>
                <w:szCs w:val="24"/>
              </w:rPr>
            </w:pPr>
          </w:p>
        </w:tc>
      </w:tr>
      <w:tr w:rsidR="00CF27C9" w:rsidRPr="00CF27C9" w:rsidTr="00FF5231">
        <w:trPr>
          <w:trHeight w:val="597"/>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color w:val="000000" w:themeColor="text1"/>
              </w:rPr>
            </w:pPr>
            <w:r w:rsidRPr="00CF27C9">
              <w:rPr>
                <w:rFonts w:ascii="Times New Roman" w:hAnsi="Times New Roman" w:cs="Times New Roman"/>
                <w:b/>
                <w:bCs/>
                <w:color w:val="000000" w:themeColor="text1"/>
                <w:sz w:val="24"/>
                <w:szCs w:val="24"/>
              </w:rPr>
              <w:t>1. Impactul macroeconomic</w:t>
            </w:r>
          </w:p>
        </w:tc>
        <w:tc>
          <w:tcPr>
            <w:tcW w:w="7804" w:type="dxa"/>
            <w:gridSpan w:val="9"/>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3758E8">
            <w:pPr>
              <w:pStyle w:val="TableText"/>
              <w:widowControl/>
              <w:jc w:val="both"/>
              <w:rPr>
                <w:color w:val="000000" w:themeColor="text1"/>
                <w:lang w:val="ro-RO"/>
              </w:rPr>
            </w:pPr>
            <w:r w:rsidRPr="00CF27C9">
              <w:rPr>
                <w:color w:val="000000" w:themeColor="text1"/>
                <w:lang w:val="ro-RO"/>
              </w:rPr>
              <w:t>Proiectul de act normativ are ca obiect revizuirea unor proceduri administrative fără impact macroeconomic relevant.</w:t>
            </w:r>
          </w:p>
        </w:tc>
      </w:tr>
      <w:tr w:rsidR="00CF27C9" w:rsidRPr="00CF27C9" w:rsidTr="00FF5231">
        <w:trPr>
          <w:trHeight w:val="1210"/>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1</w:t>
            </w:r>
            <w:r w:rsidRPr="00CF27C9">
              <w:rPr>
                <w:rFonts w:ascii="Times New Roman" w:hAnsi="Times New Roman" w:cs="Times New Roman"/>
                <w:b/>
                <w:bCs/>
                <w:color w:val="000000" w:themeColor="text1"/>
                <w:sz w:val="24"/>
                <w:szCs w:val="24"/>
                <w:vertAlign w:val="superscript"/>
              </w:rPr>
              <w:t>1</w:t>
            </w:r>
            <w:r w:rsidRPr="00CF27C9">
              <w:rPr>
                <w:rFonts w:ascii="Times New Roman" w:hAnsi="Times New Roman" w:cs="Times New Roman"/>
                <w:b/>
                <w:bCs/>
                <w:color w:val="000000" w:themeColor="text1"/>
                <w:sz w:val="24"/>
                <w:szCs w:val="24"/>
              </w:rPr>
              <w:t xml:space="preserve"> Impactul asupra mediului concurențial și domeniului ajutoarelor de stat</w:t>
            </w:r>
          </w:p>
        </w:tc>
        <w:tc>
          <w:tcPr>
            <w:tcW w:w="7804" w:type="dxa"/>
            <w:gridSpan w:val="9"/>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70480C">
            <w:pPr>
              <w:spacing w:after="0" w:line="240" w:lineRule="auto"/>
              <w:jc w:val="both"/>
              <w:rPr>
                <w:color w:val="000000" w:themeColor="text1"/>
              </w:rPr>
            </w:pPr>
            <w:r w:rsidRPr="00CF27C9">
              <w:rPr>
                <w:rFonts w:ascii="Times New Roman" w:hAnsi="Times New Roman" w:cs="Times New Roman"/>
                <w:color w:val="000000" w:themeColor="text1"/>
                <w:sz w:val="24"/>
                <w:szCs w:val="24"/>
              </w:rPr>
              <w:t>Prezentul act normativ are impact asupra domeniului ajutoarelor de stat.</w:t>
            </w:r>
          </w:p>
        </w:tc>
      </w:tr>
      <w:tr w:rsidR="00CF27C9" w:rsidRPr="00CF27C9" w:rsidTr="00FF5231">
        <w:trPr>
          <w:trHeight w:val="1114"/>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b/>
                <w:color w:val="000000" w:themeColor="text1"/>
                <w:sz w:val="24"/>
                <w:szCs w:val="24"/>
                <w:lang w:eastAsia="en-US"/>
              </w:rPr>
            </w:pPr>
            <w:r w:rsidRPr="00CF27C9">
              <w:rPr>
                <w:rFonts w:ascii="Times New Roman" w:hAnsi="Times New Roman" w:cs="Times New Roman"/>
                <w:b/>
                <w:bCs/>
                <w:color w:val="000000" w:themeColor="text1"/>
                <w:sz w:val="24"/>
                <w:szCs w:val="24"/>
              </w:rPr>
              <w:t>2. Impactul asupra mediului de afaceri</w:t>
            </w:r>
          </w:p>
        </w:tc>
        <w:tc>
          <w:tcPr>
            <w:tcW w:w="7804" w:type="dxa"/>
            <w:gridSpan w:val="9"/>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both"/>
              <w:rPr>
                <w:rFonts w:ascii="Times New Roman" w:hAnsi="Times New Roman" w:cs="Times New Roman"/>
                <w:b/>
                <w:color w:val="000000" w:themeColor="text1"/>
                <w:sz w:val="24"/>
                <w:szCs w:val="24"/>
                <w:lang w:eastAsia="en-US"/>
              </w:rPr>
            </w:pPr>
          </w:p>
          <w:p w:rsidR="00401ADC" w:rsidRPr="00CF27C9" w:rsidRDefault="00A63A27" w:rsidP="00D82D89">
            <w:pPr>
              <w:spacing w:after="0" w:line="240" w:lineRule="auto"/>
              <w:jc w:val="both"/>
              <w:rPr>
                <w:b/>
                <w:color w:val="000000" w:themeColor="text1"/>
              </w:rPr>
            </w:pPr>
            <w:r w:rsidRPr="00CF27C9">
              <w:rPr>
                <w:rFonts w:ascii="Times New Roman" w:hAnsi="Times New Roman" w:cs="Times New Roman"/>
                <w:b/>
                <w:color w:val="000000" w:themeColor="text1"/>
                <w:sz w:val="24"/>
                <w:szCs w:val="24"/>
                <w:lang w:eastAsia="en-US"/>
              </w:rPr>
              <w:t>1.</w:t>
            </w:r>
            <w:r w:rsidRPr="00CF27C9">
              <w:rPr>
                <w:rFonts w:ascii="Times New Roman" w:hAnsi="Times New Roman" w:cs="Times New Roman"/>
                <w:color w:val="000000" w:themeColor="text1"/>
                <w:sz w:val="24"/>
                <w:szCs w:val="24"/>
                <w:lang w:eastAsia="en-US"/>
              </w:rPr>
              <w:t xml:space="preserve"> </w:t>
            </w:r>
            <w:r w:rsidR="00D82D89" w:rsidRPr="00CF27C9">
              <w:rPr>
                <w:rFonts w:ascii="Times New Roman" w:hAnsi="Times New Roman" w:cs="Times New Roman"/>
                <w:color w:val="000000" w:themeColor="text1"/>
                <w:sz w:val="24"/>
                <w:szCs w:val="24"/>
                <w:lang w:eastAsia="en-US"/>
              </w:rPr>
              <w:t>P</w:t>
            </w:r>
            <w:r w:rsidRPr="00CF27C9">
              <w:rPr>
                <w:rFonts w:ascii="Times New Roman" w:hAnsi="Times New Roman" w:cs="Times New Roman"/>
                <w:color w:val="000000" w:themeColor="text1"/>
                <w:sz w:val="24"/>
                <w:szCs w:val="24"/>
              </w:rPr>
              <w:t xml:space="preserve">ersoanele juridice care optează pentru </w:t>
            </w:r>
            <w:r w:rsidRPr="00CF27C9">
              <w:rPr>
                <w:rFonts w:ascii="Times New Roman" w:eastAsia="Arial" w:hAnsi="Times New Roman" w:cs="Times New Roman"/>
                <w:bCs/>
                <w:color w:val="000000" w:themeColor="text1"/>
                <w:sz w:val="24"/>
                <w:szCs w:val="24"/>
              </w:rPr>
              <w:t>plata impozitului pe profit vor beneficia de facilitățile din sfera impozitului pe profit, respectiv vor beneficia de s</w:t>
            </w:r>
            <w:r w:rsidRPr="00CF27C9">
              <w:rPr>
                <w:rFonts w:ascii="Times New Roman" w:hAnsi="Times New Roman" w:cs="Times New Roman"/>
                <w:bCs/>
                <w:color w:val="000000" w:themeColor="text1"/>
                <w:sz w:val="24"/>
                <w:szCs w:val="24"/>
              </w:rPr>
              <w:t>cutirea de impozit a profitului reinvestit și</w:t>
            </w:r>
            <w:r w:rsidRPr="00CF27C9">
              <w:rPr>
                <w:rFonts w:ascii="Times New Roman" w:eastAsia="Arial" w:hAnsi="Times New Roman" w:cs="Times New Roman"/>
                <w:bCs/>
                <w:color w:val="000000" w:themeColor="text1"/>
                <w:sz w:val="24"/>
                <w:szCs w:val="24"/>
              </w:rPr>
              <w:t xml:space="preserve"> s</w:t>
            </w:r>
            <w:r w:rsidRPr="00CF27C9">
              <w:rPr>
                <w:rFonts w:ascii="Times New Roman" w:hAnsi="Times New Roman" w:cs="Times New Roman"/>
                <w:bCs/>
                <w:iCs/>
                <w:color w:val="000000" w:themeColor="text1"/>
                <w:sz w:val="24"/>
                <w:szCs w:val="24"/>
              </w:rPr>
              <w:t>cutirea de impozit pe profit dacă desfășoară exclusiv activitate de inovare, cercetare-dezvoltare</w:t>
            </w:r>
            <w:r w:rsidRPr="00CF27C9">
              <w:rPr>
                <w:rFonts w:ascii="Times New Roman" w:eastAsia="Arial" w:hAnsi="Times New Roman" w:cs="Times New Roman"/>
                <w:bCs/>
                <w:color w:val="000000" w:themeColor="text1"/>
                <w:sz w:val="24"/>
                <w:szCs w:val="24"/>
              </w:rPr>
              <w:t xml:space="preserve">, ceea ce va încuraja investițiile în domeniile strategice, precum cercetarea-dezvoltarea. </w:t>
            </w:r>
          </w:p>
          <w:p w:rsidR="005773D0" w:rsidRPr="00CF27C9" w:rsidRDefault="00A63A27" w:rsidP="005773D0">
            <w:pPr>
              <w:pStyle w:val="DefaultText"/>
              <w:ind w:left="26"/>
              <w:jc w:val="both"/>
              <w:rPr>
                <w:color w:val="000000" w:themeColor="text1"/>
                <w:lang w:val="ro-RO"/>
              </w:rPr>
            </w:pPr>
            <w:r w:rsidRPr="00CF27C9">
              <w:rPr>
                <w:b/>
                <w:color w:val="000000" w:themeColor="text1"/>
                <w:lang w:val="ro-RO"/>
              </w:rPr>
              <w:t>2.</w:t>
            </w:r>
            <w:r w:rsidRPr="00CF27C9">
              <w:rPr>
                <w:color w:val="000000" w:themeColor="text1"/>
                <w:lang w:val="ro-RO"/>
              </w:rPr>
              <w:t xml:space="preserve"> </w:t>
            </w:r>
            <w:r w:rsidR="005773D0" w:rsidRPr="00CF27C9">
              <w:rPr>
                <w:color w:val="000000" w:themeColor="text1"/>
                <w:lang w:val="ro-RO"/>
              </w:rPr>
              <w:t>Măsurile din domeniul accizelor vor avea  impact pozitiv asupra mediului de afaceri din perspectiva reducerii accizelor la motorina utilizată de  transportatorii de mărfuri și de persoane.</w:t>
            </w:r>
          </w:p>
          <w:p w:rsidR="0076017A" w:rsidRPr="00CF27C9" w:rsidRDefault="0076017A" w:rsidP="005773D0">
            <w:pPr>
              <w:pStyle w:val="DefaultText"/>
              <w:ind w:left="26"/>
              <w:jc w:val="both"/>
              <w:rPr>
                <w:b/>
                <w:color w:val="000000" w:themeColor="text1"/>
                <w:lang w:val="ro-RO"/>
              </w:rPr>
            </w:pPr>
            <w:r w:rsidRPr="00CF27C9">
              <w:rPr>
                <w:b/>
                <w:color w:val="000000" w:themeColor="text1"/>
                <w:lang w:val="ro-RO"/>
              </w:rPr>
              <w:t>3.</w:t>
            </w:r>
            <w:r w:rsidRPr="00CF27C9">
              <w:rPr>
                <w:color w:val="000000" w:themeColor="text1"/>
                <w:lang w:val="ro-RO"/>
              </w:rPr>
              <w:t xml:space="preserve"> </w:t>
            </w:r>
            <w:r w:rsidR="00B42416" w:rsidRPr="00CF27C9">
              <w:rPr>
                <w:color w:val="000000" w:themeColor="text1"/>
                <w:lang w:val="ro-RO"/>
              </w:rPr>
              <w:t xml:space="preserve">Măsurile care vizează acordarea eșalonărilor la plată a obligațiilor fiscale și restituirea taxei auto/timbrului de mediu vor avea un impact pozitiv asupra mediului de afaceri, fiind simplificate procedurile de restituire pe cale administrativă a taxelor respective.  </w:t>
            </w:r>
          </w:p>
        </w:tc>
      </w:tr>
      <w:tr w:rsidR="00CF27C9" w:rsidRPr="00CF27C9" w:rsidTr="00FF5231">
        <w:trPr>
          <w:trHeight w:val="837"/>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2.1. Impactul asupra sarcinilor administrative</w:t>
            </w:r>
          </w:p>
        </w:tc>
        <w:tc>
          <w:tcPr>
            <w:tcW w:w="7804" w:type="dxa"/>
            <w:gridSpan w:val="9"/>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3D27BA" w:rsidRPr="00CF27C9" w:rsidRDefault="003D27BA" w:rsidP="00430446">
            <w:pPr>
              <w:jc w:val="both"/>
              <w:rPr>
                <w:rFonts w:ascii="Times New Roman" w:hAnsi="Times New Roman" w:cs="Times New Roman"/>
                <w:color w:val="000000" w:themeColor="text1"/>
                <w:sz w:val="24"/>
                <w:szCs w:val="24"/>
              </w:rPr>
            </w:pPr>
          </w:p>
          <w:p w:rsidR="00401ADC" w:rsidRPr="00CF27C9" w:rsidRDefault="00F24D0B" w:rsidP="00CE197E">
            <w:pPr>
              <w:jc w:val="both"/>
              <w:rPr>
                <w:rFonts w:ascii="Times New Roman" w:hAnsi="Times New Roman" w:cs="Times New Roman"/>
                <w:strike/>
                <w:color w:val="000000" w:themeColor="text1"/>
                <w:sz w:val="24"/>
                <w:szCs w:val="24"/>
              </w:rPr>
            </w:pPr>
            <w:r w:rsidRPr="00CF27C9">
              <w:rPr>
                <w:rFonts w:ascii="Times New Roman" w:hAnsi="Times New Roman" w:cs="Times New Roman"/>
                <w:color w:val="000000" w:themeColor="text1"/>
                <w:sz w:val="24"/>
                <w:szCs w:val="24"/>
              </w:rPr>
              <w:t>Proiectul de act normativ vizează și introducerea declarați</w:t>
            </w:r>
            <w:r w:rsidR="00430446" w:rsidRPr="00CF27C9">
              <w:rPr>
                <w:rFonts w:ascii="Times New Roman" w:hAnsi="Times New Roman" w:cs="Times New Roman"/>
                <w:color w:val="000000" w:themeColor="text1"/>
                <w:sz w:val="24"/>
                <w:szCs w:val="24"/>
              </w:rPr>
              <w:t>e</w:t>
            </w:r>
            <w:r w:rsidRPr="00CF27C9">
              <w:rPr>
                <w:rFonts w:ascii="Times New Roman" w:hAnsi="Times New Roman" w:cs="Times New Roman"/>
                <w:color w:val="000000" w:themeColor="text1"/>
                <w:sz w:val="24"/>
                <w:szCs w:val="24"/>
              </w:rPr>
              <w:t xml:space="preserve">i informative </w:t>
            </w:r>
            <w:r w:rsidRPr="00CF27C9">
              <w:rPr>
                <w:rFonts w:ascii="Times New Roman" w:hAnsi="Times New Roman" w:cs="Times New Roman"/>
                <w:bCs/>
                <w:color w:val="000000" w:themeColor="text1"/>
                <w:sz w:val="24"/>
                <w:szCs w:val="24"/>
              </w:rPr>
              <w:t xml:space="preserve">privind beneficiarii sponsorizărilor/mecenatului/burselor private, </w:t>
            </w:r>
            <w:r w:rsidRPr="00CF27C9">
              <w:rPr>
                <w:rFonts w:ascii="Times New Roman" w:hAnsi="Times New Roman" w:cs="Times New Roman"/>
                <w:color w:val="000000" w:themeColor="text1"/>
                <w:sz w:val="24"/>
                <w:szCs w:val="24"/>
              </w:rPr>
              <w:t>fără impact</w:t>
            </w:r>
            <w:r w:rsidR="00CE197E" w:rsidRPr="00CF27C9">
              <w:rPr>
                <w:rFonts w:ascii="Times New Roman" w:hAnsi="Times New Roman" w:cs="Times New Roman"/>
                <w:color w:val="000000" w:themeColor="text1"/>
                <w:sz w:val="24"/>
                <w:szCs w:val="24"/>
              </w:rPr>
              <w:t xml:space="preserve"> </w:t>
            </w:r>
            <w:r w:rsidRPr="00CF27C9">
              <w:rPr>
                <w:rFonts w:ascii="Times New Roman" w:hAnsi="Times New Roman" w:cs="Times New Roman"/>
                <w:color w:val="000000" w:themeColor="text1"/>
                <w:sz w:val="24"/>
                <w:szCs w:val="24"/>
              </w:rPr>
              <w:t>relevant.</w:t>
            </w:r>
          </w:p>
        </w:tc>
      </w:tr>
      <w:tr w:rsidR="00CF27C9" w:rsidRPr="00CF27C9" w:rsidTr="00FF5231">
        <w:trPr>
          <w:trHeight w:val="961"/>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color w:val="000000" w:themeColor="text1"/>
              </w:rPr>
            </w:pPr>
            <w:r w:rsidRPr="00CF27C9">
              <w:rPr>
                <w:rFonts w:ascii="Times New Roman" w:hAnsi="Times New Roman" w:cs="Times New Roman"/>
                <w:b/>
                <w:bCs/>
                <w:color w:val="000000" w:themeColor="text1"/>
                <w:sz w:val="24"/>
                <w:szCs w:val="24"/>
              </w:rPr>
              <w:t>2.2. Impactul asupra întreprinderilor mici și mijlocii</w:t>
            </w:r>
          </w:p>
        </w:tc>
        <w:tc>
          <w:tcPr>
            <w:tcW w:w="7804" w:type="dxa"/>
            <w:gridSpan w:val="9"/>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2F3ADC" w:rsidRDefault="002F3ADC" w:rsidP="0076017A">
            <w:pPr>
              <w:pStyle w:val="DefaultText"/>
              <w:ind w:left="26"/>
              <w:jc w:val="both"/>
              <w:rPr>
                <w:color w:val="000000" w:themeColor="text1"/>
                <w:lang w:val="ro-RO"/>
              </w:rPr>
            </w:pPr>
          </w:p>
          <w:p w:rsidR="002F3ADC" w:rsidRPr="00C325D1" w:rsidRDefault="002F3ADC" w:rsidP="002F3ADC">
            <w:pPr>
              <w:spacing w:after="0" w:line="240" w:lineRule="auto"/>
              <w:jc w:val="both"/>
              <w:rPr>
                <w:rFonts w:ascii="Times New Roman" w:hAnsi="Times New Roman" w:cs="Times New Roman"/>
                <w:color w:val="000000" w:themeColor="text1"/>
                <w:sz w:val="24"/>
                <w:szCs w:val="24"/>
              </w:rPr>
            </w:pPr>
            <w:r w:rsidRPr="00C325D1">
              <w:rPr>
                <w:rFonts w:ascii="Times New Roman" w:hAnsi="Times New Roman" w:cs="Times New Roman"/>
                <w:color w:val="000000" w:themeColor="text1"/>
                <w:sz w:val="24"/>
                <w:szCs w:val="24"/>
              </w:rPr>
              <w:t xml:space="preserve">Raportul Testului IMM aferent proiectului de act normativ se avizează de către Grupul pentru evaluarea impactului economic al actelor normative asupra întreprinderilor mici și mijlocii (GEIEAN) din cadrul Ministerului pentru Mediul de Afaceri, Comerț și Antreprenoriat.   </w:t>
            </w:r>
          </w:p>
          <w:p w:rsidR="0076017A" w:rsidRPr="00944680" w:rsidRDefault="00B42416" w:rsidP="002F3ADC">
            <w:pPr>
              <w:pStyle w:val="DefaultText"/>
              <w:ind w:left="26"/>
              <w:jc w:val="both"/>
              <w:rPr>
                <w:color w:val="000000" w:themeColor="text1"/>
                <w:lang w:val="ro-RO"/>
              </w:rPr>
            </w:pPr>
            <w:r w:rsidRPr="00CF27C9">
              <w:rPr>
                <w:color w:val="000000" w:themeColor="text1"/>
                <w:lang w:val="ro-RO"/>
              </w:rPr>
              <w:t>Prezentul act normativ are un impact pozitiv din perspectiva reducerii accizelor la motorina utilizată de transportatorii de mărfuri și de persoane, precum și a simplificării procedurilor de restituire pe cale administrativă a taxei auto/timbrului de mediu și a simplificării procedurilor de acordare a eșalonării la plată a obligațiilor fiscale.</w:t>
            </w:r>
          </w:p>
        </w:tc>
      </w:tr>
      <w:tr w:rsidR="00CF27C9" w:rsidRPr="00CF27C9" w:rsidTr="00FF5231">
        <w:trPr>
          <w:trHeight w:val="705"/>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color w:val="000000" w:themeColor="text1"/>
              </w:rPr>
            </w:pPr>
            <w:r w:rsidRPr="00CF27C9">
              <w:rPr>
                <w:rFonts w:ascii="Times New Roman" w:hAnsi="Times New Roman" w:cs="Times New Roman"/>
                <w:b/>
                <w:bCs/>
                <w:color w:val="000000" w:themeColor="text1"/>
                <w:sz w:val="24"/>
                <w:szCs w:val="24"/>
              </w:rPr>
              <w:t>3. Impactul social</w:t>
            </w:r>
          </w:p>
        </w:tc>
        <w:tc>
          <w:tcPr>
            <w:tcW w:w="7804" w:type="dxa"/>
            <w:gridSpan w:val="9"/>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pStyle w:val="TableText"/>
              <w:widowControl/>
              <w:jc w:val="both"/>
              <w:rPr>
                <w:color w:val="000000" w:themeColor="text1"/>
                <w:lang w:val="ro-RO"/>
              </w:rPr>
            </w:pPr>
            <w:r w:rsidRPr="00CF27C9">
              <w:rPr>
                <w:color w:val="000000" w:themeColor="text1"/>
                <w:lang w:val="ro-RO"/>
              </w:rPr>
              <w:t>Prezentul proiect de act normativ nu se referă la acest subiect.</w:t>
            </w:r>
          </w:p>
          <w:p w:rsidR="00401ADC" w:rsidRPr="00CF27C9" w:rsidRDefault="00401ADC">
            <w:pPr>
              <w:pStyle w:val="TableText"/>
              <w:widowControl/>
              <w:jc w:val="both"/>
              <w:rPr>
                <w:color w:val="000000" w:themeColor="text1"/>
                <w:lang w:val="ro-RO"/>
              </w:rPr>
            </w:pPr>
          </w:p>
        </w:tc>
      </w:tr>
      <w:tr w:rsidR="00CF27C9" w:rsidRPr="00CF27C9" w:rsidTr="00FF5231">
        <w:trPr>
          <w:trHeight w:val="693"/>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color w:val="000000" w:themeColor="text1"/>
              </w:rPr>
            </w:pPr>
            <w:r w:rsidRPr="00CF27C9">
              <w:rPr>
                <w:rFonts w:ascii="Times New Roman" w:hAnsi="Times New Roman" w:cs="Times New Roman"/>
                <w:b/>
                <w:bCs/>
                <w:color w:val="000000" w:themeColor="text1"/>
                <w:sz w:val="24"/>
                <w:szCs w:val="24"/>
              </w:rPr>
              <w:t>4. Impactul asupra mediului</w:t>
            </w:r>
          </w:p>
        </w:tc>
        <w:tc>
          <w:tcPr>
            <w:tcW w:w="7804" w:type="dxa"/>
            <w:gridSpan w:val="9"/>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pStyle w:val="TableText"/>
              <w:widowControl/>
              <w:jc w:val="both"/>
              <w:rPr>
                <w:color w:val="000000" w:themeColor="text1"/>
              </w:rPr>
            </w:pPr>
            <w:r w:rsidRPr="00CF27C9">
              <w:rPr>
                <w:color w:val="000000" w:themeColor="text1"/>
                <w:lang w:val="ro-RO"/>
              </w:rPr>
              <w:t>Nu este cazul.</w:t>
            </w:r>
          </w:p>
        </w:tc>
      </w:tr>
      <w:tr w:rsidR="00CF27C9" w:rsidRPr="00CF27C9" w:rsidTr="00FF5231">
        <w:trPr>
          <w:trHeight w:val="279"/>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5. Alte informații</w:t>
            </w:r>
          </w:p>
        </w:tc>
        <w:tc>
          <w:tcPr>
            <w:tcW w:w="7804" w:type="dxa"/>
            <w:gridSpan w:val="9"/>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rPr>
                <w:rFonts w:ascii="Times New Roman" w:hAnsi="Times New Roman" w:cs="Times New Roman"/>
                <w:color w:val="000000" w:themeColor="text1"/>
                <w:sz w:val="24"/>
                <w:szCs w:val="24"/>
              </w:rPr>
            </w:pPr>
          </w:p>
          <w:p w:rsidR="00401ADC" w:rsidRPr="00CF27C9" w:rsidRDefault="00A63A27">
            <w:pPr>
              <w:spacing w:after="0" w:line="240" w:lineRule="auto"/>
              <w:rPr>
                <w:color w:val="000000" w:themeColor="text1"/>
              </w:rPr>
            </w:pPr>
            <w:r w:rsidRPr="00CF27C9">
              <w:rPr>
                <w:rFonts w:ascii="Times New Roman" w:hAnsi="Times New Roman" w:cs="Times New Roman"/>
                <w:color w:val="000000" w:themeColor="text1"/>
                <w:sz w:val="24"/>
                <w:szCs w:val="24"/>
              </w:rPr>
              <w:t>Nu au fost identificate.</w:t>
            </w:r>
          </w:p>
          <w:p w:rsidR="00401ADC" w:rsidRPr="00CF27C9" w:rsidRDefault="00401ADC">
            <w:pPr>
              <w:spacing w:after="0" w:line="240" w:lineRule="auto"/>
              <w:rPr>
                <w:color w:val="000000" w:themeColor="text1"/>
              </w:rPr>
            </w:pPr>
          </w:p>
        </w:tc>
      </w:tr>
      <w:tr w:rsidR="00CF27C9" w:rsidRPr="00CF27C9" w:rsidTr="00C140E8">
        <w:trPr>
          <w:trHeight w:val="926"/>
        </w:trPr>
        <w:tc>
          <w:tcPr>
            <w:tcW w:w="10815" w:type="dxa"/>
            <w:gridSpan w:val="11"/>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Secțiunea a 4-a</w:t>
            </w:r>
          </w:p>
          <w:p w:rsidR="00401ADC" w:rsidRPr="00CF27C9" w:rsidRDefault="00A63A27">
            <w:pPr>
              <w:spacing w:after="0" w:line="240" w:lineRule="auto"/>
              <w:jc w:val="center"/>
              <w:rPr>
                <w:color w:val="000000" w:themeColor="text1"/>
              </w:rPr>
            </w:pPr>
            <w:r w:rsidRPr="00CF27C9">
              <w:rPr>
                <w:rFonts w:ascii="Times New Roman" w:hAnsi="Times New Roman" w:cs="Times New Roman"/>
                <w:b/>
                <w:bCs/>
                <w:color w:val="000000" w:themeColor="text1"/>
                <w:sz w:val="24"/>
                <w:szCs w:val="24"/>
              </w:rPr>
              <w:t>Impactul financiar asupra bugetului general consolidat, atât pe termen scurt, pentru anul curent, cât și pe termen lung (pe 5 ani)</w:t>
            </w:r>
          </w:p>
          <w:p w:rsidR="00401ADC" w:rsidRPr="00CF27C9" w:rsidRDefault="00401ADC">
            <w:pPr>
              <w:spacing w:after="0" w:line="240" w:lineRule="auto"/>
              <w:jc w:val="center"/>
              <w:rPr>
                <w:color w:val="000000" w:themeColor="text1"/>
              </w:rPr>
            </w:pPr>
          </w:p>
        </w:tc>
      </w:tr>
      <w:tr w:rsidR="00CF27C9" w:rsidRPr="00CF27C9" w:rsidTr="00C140E8">
        <w:trPr>
          <w:trHeight w:val="80"/>
        </w:trPr>
        <w:tc>
          <w:tcPr>
            <w:tcW w:w="10815" w:type="dxa"/>
            <w:gridSpan w:val="11"/>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right"/>
              <w:rPr>
                <w:color w:val="000000" w:themeColor="text1"/>
              </w:rPr>
            </w:pPr>
            <w:r w:rsidRPr="00CF27C9">
              <w:rPr>
                <w:rFonts w:ascii="Times New Roman" w:hAnsi="Times New Roman" w:cs="Times New Roman"/>
                <w:color w:val="000000" w:themeColor="text1"/>
                <w:sz w:val="24"/>
                <w:szCs w:val="24"/>
              </w:rPr>
              <w:t>- mil. lei -</w:t>
            </w:r>
          </w:p>
        </w:tc>
      </w:tr>
      <w:tr w:rsidR="00CF27C9" w:rsidRPr="00CF27C9" w:rsidTr="00FF5231">
        <w:trPr>
          <w:cantSplit/>
          <w:trHeight w:val="276"/>
        </w:trPr>
        <w:tc>
          <w:tcPr>
            <w:tcW w:w="3011" w:type="dxa"/>
            <w:gridSpan w:val="2"/>
            <w:vMerge w:val="restart"/>
            <w:tcBorders>
              <w:top w:val="single" w:sz="4" w:space="0" w:color="000001"/>
              <w:left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Indicatori</w:t>
            </w:r>
          </w:p>
        </w:tc>
        <w:tc>
          <w:tcPr>
            <w:tcW w:w="1462" w:type="dxa"/>
            <w:vMerge w:val="restart"/>
            <w:tcBorders>
              <w:top w:val="single" w:sz="4" w:space="0" w:color="000001"/>
              <w:left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Anul curent 2018</w:t>
            </w:r>
          </w:p>
        </w:tc>
        <w:tc>
          <w:tcPr>
            <w:tcW w:w="3889" w:type="dxa"/>
            <w:gridSpan w:val="7"/>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Următorii 4 ani</w:t>
            </w:r>
          </w:p>
        </w:tc>
        <w:tc>
          <w:tcPr>
            <w:tcW w:w="2453" w:type="dxa"/>
            <w:vMerge w:val="restart"/>
            <w:tcBorders>
              <w:top w:val="single" w:sz="4" w:space="0" w:color="000001"/>
              <w:left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color w:val="000000" w:themeColor="text1"/>
              </w:rPr>
            </w:pPr>
            <w:r w:rsidRPr="00CF27C9">
              <w:rPr>
                <w:rFonts w:ascii="Times New Roman" w:hAnsi="Times New Roman" w:cs="Times New Roman"/>
                <w:b/>
                <w:bCs/>
                <w:color w:val="000000" w:themeColor="text1"/>
                <w:sz w:val="24"/>
                <w:szCs w:val="24"/>
              </w:rPr>
              <w:t>Media pe 5 ani</w:t>
            </w:r>
          </w:p>
        </w:tc>
      </w:tr>
      <w:tr w:rsidR="00CF27C9" w:rsidRPr="00CF27C9" w:rsidTr="00FF5231">
        <w:trPr>
          <w:cantSplit/>
          <w:trHeight w:val="275"/>
        </w:trPr>
        <w:tc>
          <w:tcPr>
            <w:tcW w:w="30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bCs/>
                <w:color w:val="000000" w:themeColor="text1"/>
                <w:sz w:val="24"/>
                <w:szCs w:val="24"/>
              </w:rPr>
            </w:pPr>
          </w:p>
        </w:tc>
        <w:tc>
          <w:tcPr>
            <w:tcW w:w="1462"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bCs/>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2019</w:t>
            </w: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2020</w:t>
            </w: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2021</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2022</w:t>
            </w:r>
          </w:p>
        </w:tc>
        <w:tc>
          <w:tcPr>
            <w:tcW w:w="2453"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bCs/>
                <w:color w:val="000000" w:themeColor="text1"/>
                <w:sz w:val="24"/>
                <w:szCs w:val="24"/>
              </w:rPr>
            </w:pPr>
          </w:p>
        </w:tc>
      </w:tr>
      <w:tr w:rsidR="00CF27C9" w:rsidRPr="00CF27C9" w:rsidTr="00FF5231">
        <w:trPr>
          <w:trHeight w:val="240"/>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1</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2</w:t>
            </w: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3</w:t>
            </w: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4</w:t>
            </w: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5</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6</w:t>
            </w: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color w:val="000000" w:themeColor="text1"/>
              </w:rPr>
            </w:pPr>
            <w:r w:rsidRPr="00CF27C9">
              <w:rPr>
                <w:rFonts w:ascii="Times New Roman" w:hAnsi="Times New Roman" w:cs="Times New Roman"/>
                <w:color w:val="000000" w:themeColor="text1"/>
                <w:sz w:val="24"/>
                <w:szCs w:val="24"/>
              </w:rPr>
              <w:t>7</w:t>
            </w:r>
          </w:p>
        </w:tc>
      </w:tr>
      <w:tr w:rsidR="00F8068A" w:rsidRPr="00CF27C9" w:rsidTr="00FF5231">
        <w:trPr>
          <w:trHeight w:val="882"/>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line="240" w:lineRule="auto"/>
              <w:jc w:val="both"/>
              <w:rPr>
                <w:rFonts w:ascii="Times New Roman" w:hAnsi="Times New Roman" w:cs="Times New Roman"/>
                <w:b/>
                <w:color w:val="000000" w:themeColor="text1"/>
                <w:sz w:val="24"/>
                <w:szCs w:val="24"/>
              </w:rPr>
            </w:pPr>
            <w:r w:rsidRPr="00CF27C9">
              <w:rPr>
                <w:rFonts w:ascii="Times New Roman" w:hAnsi="Times New Roman" w:cs="Times New Roman"/>
                <w:b/>
                <w:bCs/>
                <w:color w:val="000000" w:themeColor="text1"/>
                <w:sz w:val="24"/>
                <w:szCs w:val="24"/>
              </w:rPr>
              <w:t>1) Modificări ale veniturilor bugetare, plus/minus, din care:</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-122,0</w:t>
            </w: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-318,9</w:t>
            </w: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-343,4</w:t>
            </w: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-366,4</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line="240" w:lineRule="auto"/>
              <w:jc w:val="center"/>
              <w:rPr>
                <w:rFonts w:ascii="Times New Roman" w:hAnsi="Times New Roman" w:cs="Times New Roman"/>
                <w:b/>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line="240" w:lineRule="auto"/>
              <w:jc w:val="center"/>
              <w:rPr>
                <w:rFonts w:ascii="Times New Roman" w:hAnsi="Times New Roman" w:cs="Times New Roman"/>
                <w:b/>
                <w:color w:val="000000" w:themeColor="text1"/>
                <w:sz w:val="24"/>
                <w:szCs w:val="24"/>
              </w:rPr>
            </w:pPr>
          </w:p>
        </w:tc>
      </w:tr>
      <w:tr w:rsidR="00F8068A" w:rsidRPr="00CF27C9" w:rsidTr="00FF5231">
        <w:trPr>
          <w:trHeight w:val="600"/>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line="240" w:lineRule="auto"/>
              <w:rPr>
                <w:rFonts w:ascii="Times New Roman" w:hAnsi="Times New Roman" w:cs="Times New Roman"/>
                <w:b/>
                <w:color w:val="000000" w:themeColor="text1"/>
                <w:sz w:val="24"/>
                <w:szCs w:val="24"/>
              </w:rPr>
            </w:pPr>
            <w:r w:rsidRPr="00CF27C9">
              <w:rPr>
                <w:rFonts w:ascii="Times New Roman" w:hAnsi="Times New Roman" w:cs="Times New Roman"/>
                <w:b/>
                <w:bCs/>
                <w:color w:val="000000" w:themeColor="text1"/>
                <w:sz w:val="24"/>
                <w:szCs w:val="24"/>
              </w:rPr>
              <w:t>a) buget de stat</w:t>
            </w:r>
            <w:r w:rsidRPr="00CF27C9">
              <w:rPr>
                <w:rFonts w:ascii="Times New Roman" w:hAnsi="Times New Roman" w:cs="Times New Roman"/>
                <w:color w:val="000000" w:themeColor="text1"/>
                <w:sz w:val="24"/>
                <w:szCs w:val="24"/>
              </w:rPr>
              <w:t>, din acestea:</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-122,0</w:t>
            </w: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-318,9</w:t>
            </w: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-343,4</w:t>
            </w: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-366,4</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line="240" w:lineRule="auto"/>
              <w:jc w:val="center"/>
              <w:rPr>
                <w:rFonts w:ascii="Times New Roman" w:hAnsi="Times New Roman" w:cs="Times New Roman"/>
                <w:b/>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line="240" w:lineRule="auto"/>
              <w:jc w:val="center"/>
              <w:rPr>
                <w:rFonts w:ascii="Times New Roman" w:hAnsi="Times New Roman" w:cs="Times New Roman"/>
                <w:b/>
                <w:color w:val="000000" w:themeColor="text1"/>
                <w:sz w:val="24"/>
                <w:szCs w:val="24"/>
              </w:rPr>
            </w:pPr>
          </w:p>
        </w:tc>
      </w:tr>
      <w:tr w:rsidR="00F8068A" w:rsidRPr="00CF27C9" w:rsidTr="00FF5231">
        <w:trPr>
          <w:trHeight w:val="483"/>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(i) impozit pe profit</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ind w:right="-129" w:firstLine="33"/>
              <w:jc w:val="center"/>
              <w:rPr>
                <w:rFonts w:ascii="Times New Roman" w:hAnsi="Times New Roman" w:cs="Times New Roman"/>
                <w:color w:val="000000" w:themeColor="text1"/>
                <w:sz w:val="24"/>
              </w:rPr>
            </w:pPr>
            <w:r>
              <w:t>18,4</w:t>
            </w: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jc w:val="center"/>
              <w:rPr>
                <w:rFonts w:ascii="Times New Roman" w:hAnsi="Times New Roman" w:cs="Times New Roman"/>
                <w:color w:val="000000" w:themeColor="text1"/>
                <w:sz w:val="24"/>
              </w:rPr>
            </w:pPr>
            <w:r>
              <w:t>39,0</w:t>
            </w: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jc w:val="center"/>
              <w:rPr>
                <w:rFonts w:ascii="Times New Roman" w:hAnsi="Times New Roman" w:cs="Times New Roman"/>
                <w:color w:val="000000" w:themeColor="text1"/>
                <w:sz w:val="24"/>
              </w:rPr>
            </w:pPr>
            <w:r>
              <w:t>41,2</w:t>
            </w: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jc w:val="center"/>
              <w:rPr>
                <w:rFonts w:ascii="Times New Roman" w:hAnsi="Times New Roman" w:cs="Times New Roman"/>
                <w:color w:val="000000" w:themeColor="text1"/>
                <w:sz w:val="24"/>
              </w:rPr>
            </w:pPr>
            <w:r>
              <w:t>43,3</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513"/>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C140E8" w:rsidRPr="00CF27C9" w:rsidRDefault="00C140E8" w:rsidP="00C140E8">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(ii) impozit pe veniturile microîntreprinderilor</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C140E8" w:rsidRPr="00CF27C9" w:rsidRDefault="00C140E8" w:rsidP="00C140E8">
            <w:pPr>
              <w:tabs>
                <w:tab w:val="left" w:pos="521"/>
              </w:tabs>
              <w:spacing w:after="0"/>
              <w:ind w:left="379" w:right="-129" w:firstLine="33"/>
              <w:rPr>
                <w:rFonts w:ascii="Times New Roman" w:hAnsi="Times New Roman" w:cs="Times New Roman"/>
                <w:color w:val="000000" w:themeColor="text1"/>
                <w:sz w:val="24"/>
              </w:rPr>
            </w:pPr>
            <w:r w:rsidRPr="00CF27C9">
              <w:rPr>
                <w:rFonts w:ascii="Times New Roman" w:hAnsi="Times New Roman" w:cs="Times New Roman"/>
                <w:color w:val="000000" w:themeColor="text1"/>
                <w:sz w:val="24"/>
              </w:rPr>
              <w:t>-140,4</w:t>
            </w: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C140E8" w:rsidRPr="00CF27C9" w:rsidRDefault="00C140E8" w:rsidP="00C140E8">
            <w:pPr>
              <w:spacing w:after="0"/>
              <w:jc w:val="center"/>
              <w:rPr>
                <w:rFonts w:ascii="Times New Roman" w:hAnsi="Times New Roman" w:cs="Times New Roman"/>
                <w:color w:val="000000" w:themeColor="text1"/>
                <w:sz w:val="24"/>
              </w:rPr>
            </w:pPr>
            <w:r w:rsidRPr="00CF27C9">
              <w:rPr>
                <w:rFonts w:ascii="Times New Roman" w:hAnsi="Times New Roman" w:cs="Times New Roman"/>
                <w:color w:val="000000" w:themeColor="text1"/>
                <w:sz w:val="24"/>
              </w:rPr>
              <w:t>-299,3</w:t>
            </w: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C140E8" w:rsidRPr="00CF27C9" w:rsidRDefault="00C140E8" w:rsidP="00C140E8">
            <w:pPr>
              <w:spacing w:after="0"/>
              <w:jc w:val="center"/>
              <w:rPr>
                <w:rFonts w:ascii="Times New Roman" w:hAnsi="Times New Roman" w:cs="Times New Roman"/>
                <w:color w:val="000000" w:themeColor="text1"/>
                <w:sz w:val="24"/>
              </w:rPr>
            </w:pPr>
            <w:r w:rsidRPr="00CF27C9">
              <w:rPr>
                <w:rFonts w:ascii="Times New Roman" w:hAnsi="Times New Roman" w:cs="Times New Roman"/>
                <w:color w:val="000000" w:themeColor="text1"/>
                <w:sz w:val="24"/>
              </w:rPr>
              <w:t>-318,5</w:t>
            </w: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C140E8" w:rsidRPr="00CF27C9" w:rsidRDefault="00C140E8" w:rsidP="00C140E8">
            <w:pPr>
              <w:spacing w:after="0"/>
              <w:jc w:val="center"/>
              <w:rPr>
                <w:rFonts w:ascii="Times New Roman" w:hAnsi="Times New Roman" w:cs="Times New Roman"/>
                <w:color w:val="000000" w:themeColor="text1"/>
                <w:sz w:val="24"/>
              </w:rPr>
            </w:pPr>
            <w:r w:rsidRPr="00CF27C9">
              <w:rPr>
                <w:rFonts w:ascii="Times New Roman" w:hAnsi="Times New Roman" w:cs="Times New Roman"/>
                <w:color w:val="000000" w:themeColor="text1"/>
                <w:sz w:val="24"/>
              </w:rPr>
              <w:t>-337,0</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C140E8" w:rsidRPr="00CF27C9" w:rsidRDefault="00C140E8" w:rsidP="00C140E8">
            <w:pPr>
              <w:spacing w:after="0" w:line="240" w:lineRule="auto"/>
              <w:jc w:val="center"/>
              <w:rPr>
                <w:rFonts w:ascii="Times New Roman" w:hAnsi="Times New Roman" w:cs="Times New Roman"/>
                <w:b/>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C140E8" w:rsidRPr="00CF27C9" w:rsidRDefault="00C140E8" w:rsidP="00C140E8">
            <w:pPr>
              <w:spacing w:after="0" w:line="240" w:lineRule="auto"/>
              <w:jc w:val="center"/>
              <w:rPr>
                <w:rFonts w:ascii="Times New Roman" w:hAnsi="Times New Roman" w:cs="Times New Roman"/>
                <w:b/>
                <w:color w:val="000000" w:themeColor="text1"/>
                <w:sz w:val="24"/>
                <w:szCs w:val="24"/>
              </w:rPr>
            </w:pPr>
          </w:p>
        </w:tc>
      </w:tr>
      <w:tr w:rsidR="00FF5231" w:rsidRPr="00CF27C9" w:rsidTr="001411AB">
        <w:trPr>
          <w:trHeight w:val="513"/>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F5231" w:rsidRPr="00CF27C9" w:rsidRDefault="00FF5231" w:rsidP="00FF5231">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(iii) impozit pe venit</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F5231" w:rsidRPr="00CF27C9" w:rsidRDefault="00FF5231" w:rsidP="00FF5231">
            <w:pPr>
              <w:snapToGrid w:val="0"/>
              <w:spacing w:after="0" w:line="240" w:lineRule="auto"/>
              <w:jc w:val="center"/>
              <w:rPr>
                <w:rFonts w:ascii="Times New Roman" w:hAnsi="Times New Roman" w:cs="Times New Roman"/>
                <w:color w:val="000000" w:themeColor="text1"/>
                <w:sz w:val="24"/>
                <w:szCs w:val="20"/>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FF5231" w:rsidRPr="00CF27C9" w:rsidRDefault="00FF5231" w:rsidP="00FF5231">
            <w:pPr>
              <w:snapToGrid w:val="0"/>
              <w:spacing w:after="0" w:line="240" w:lineRule="auto"/>
              <w:jc w:val="center"/>
              <w:rPr>
                <w:rFonts w:ascii="Times New Roman" w:hAnsi="Times New Roman" w:cs="Times New Roman"/>
                <w:color w:val="000000" w:themeColor="text1"/>
                <w:sz w:val="24"/>
                <w:szCs w:val="20"/>
              </w:rPr>
            </w:pPr>
            <w:r>
              <w:rPr>
                <w:color w:val="000000"/>
              </w:rPr>
              <w:t>-58,6</w:t>
            </w: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FF5231" w:rsidRPr="00CF27C9" w:rsidRDefault="00FF5231" w:rsidP="00FF5231">
            <w:pPr>
              <w:snapToGrid w:val="0"/>
              <w:spacing w:after="0" w:line="240" w:lineRule="auto"/>
              <w:jc w:val="center"/>
              <w:rPr>
                <w:rFonts w:ascii="Times New Roman" w:hAnsi="Times New Roman" w:cs="Times New Roman"/>
                <w:color w:val="000000" w:themeColor="text1"/>
                <w:sz w:val="24"/>
                <w:szCs w:val="20"/>
              </w:rPr>
            </w:pPr>
            <w:r>
              <w:rPr>
                <w:color w:val="000000"/>
              </w:rPr>
              <w:t>-66,1</w:t>
            </w: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bottom"/>
          </w:tcPr>
          <w:p w:rsidR="00FF5231" w:rsidRPr="00CF27C9" w:rsidRDefault="00FF5231" w:rsidP="00FF5231">
            <w:pPr>
              <w:snapToGrid w:val="0"/>
              <w:spacing w:after="0" w:line="240" w:lineRule="auto"/>
              <w:jc w:val="center"/>
              <w:rPr>
                <w:rFonts w:ascii="Times New Roman" w:hAnsi="Times New Roman" w:cs="Times New Roman"/>
                <w:color w:val="000000" w:themeColor="text1"/>
                <w:sz w:val="24"/>
                <w:szCs w:val="20"/>
              </w:rPr>
            </w:pPr>
            <w:r>
              <w:rPr>
                <w:color w:val="000000"/>
              </w:rPr>
              <w:t>-72,7</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F5231" w:rsidRPr="00CF27C9" w:rsidRDefault="00FF5231" w:rsidP="00FF5231">
            <w:pPr>
              <w:spacing w:after="0" w:line="240" w:lineRule="auto"/>
              <w:jc w:val="center"/>
              <w:rPr>
                <w:rFonts w:ascii="Times New Roman" w:hAnsi="Times New Roman" w:cs="Times New Roman"/>
                <w:b/>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F5231" w:rsidRPr="00CF27C9" w:rsidRDefault="00FF5231" w:rsidP="00FF5231">
            <w:pPr>
              <w:spacing w:after="0" w:line="240" w:lineRule="auto"/>
              <w:jc w:val="center"/>
              <w:rPr>
                <w:rFonts w:ascii="Times New Roman" w:hAnsi="Times New Roman" w:cs="Times New Roman"/>
                <w:b/>
                <w:color w:val="000000" w:themeColor="text1"/>
                <w:sz w:val="24"/>
                <w:szCs w:val="24"/>
              </w:rPr>
            </w:pPr>
          </w:p>
        </w:tc>
      </w:tr>
      <w:tr w:rsidR="00CF27C9" w:rsidRPr="00CF27C9" w:rsidTr="00FF5231">
        <w:trPr>
          <w:trHeight w:val="513"/>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b/>
                <w:color w:val="000000" w:themeColor="text1"/>
                <w:sz w:val="24"/>
                <w:szCs w:val="24"/>
              </w:rPr>
            </w:pPr>
            <w:r w:rsidRPr="00CF27C9">
              <w:rPr>
                <w:rFonts w:ascii="Times New Roman" w:hAnsi="Times New Roman" w:cs="Times New Roman"/>
                <w:b/>
                <w:bCs/>
                <w:color w:val="000000" w:themeColor="text1"/>
                <w:sz w:val="24"/>
                <w:szCs w:val="24"/>
              </w:rPr>
              <w:t>b) bugete locale</w:t>
            </w:r>
            <w:r w:rsidRPr="00CF27C9">
              <w:rPr>
                <w:rFonts w:ascii="Times New Roman" w:hAnsi="Times New Roman" w:cs="Times New Roman"/>
                <w:color w:val="000000" w:themeColor="text1"/>
                <w:sz w:val="24"/>
                <w:szCs w:val="24"/>
              </w:rPr>
              <w:t>:</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color w:val="000000" w:themeColor="text1"/>
                <w:sz w:val="24"/>
                <w:szCs w:val="24"/>
              </w:rPr>
            </w:pPr>
          </w:p>
        </w:tc>
      </w:tr>
      <w:tr w:rsidR="00CF27C9" w:rsidRPr="00CF27C9" w:rsidTr="00FF5231">
        <w:trPr>
          <w:trHeight w:val="450"/>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(i) impozit pe profit</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627"/>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b/>
                <w:color w:val="000000" w:themeColor="text1"/>
                <w:sz w:val="24"/>
                <w:szCs w:val="24"/>
              </w:rPr>
            </w:pPr>
            <w:r w:rsidRPr="00CF27C9">
              <w:rPr>
                <w:rFonts w:ascii="Times New Roman" w:hAnsi="Times New Roman" w:cs="Times New Roman"/>
                <w:b/>
                <w:bCs/>
                <w:color w:val="000000" w:themeColor="text1"/>
                <w:sz w:val="24"/>
                <w:szCs w:val="24"/>
              </w:rPr>
              <w:t>c) bugetul asigurărilor sociale de stat</w:t>
            </w:r>
            <w:r w:rsidRPr="00CF27C9">
              <w:rPr>
                <w:rFonts w:ascii="Times New Roman" w:hAnsi="Times New Roman" w:cs="Times New Roman"/>
                <w:color w:val="000000" w:themeColor="text1"/>
                <w:sz w:val="24"/>
                <w:szCs w:val="24"/>
              </w:rPr>
              <w:t>:</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color w:val="000000" w:themeColor="text1"/>
                <w:sz w:val="24"/>
                <w:szCs w:val="24"/>
              </w:rPr>
            </w:pPr>
          </w:p>
        </w:tc>
      </w:tr>
      <w:tr w:rsidR="00CF27C9" w:rsidRPr="00CF27C9" w:rsidTr="00FF5231">
        <w:trPr>
          <w:trHeight w:val="627"/>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bCs/>
                <w:color w:val="000000" w:themeColor="text1"/>
                <w:sz w:val="24"/>
                <w:szCs w:val="24"/>
              </w:rPr>
              <w:t>(i) contribuții de asigurări</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b/>
                <w:color w:val="000000" w:themeColor="text1"/>
                <w:sz w:val="24"/>
                <w:szCs w:val="24"/>
              </w:rPr>
            </w:pPr>
          </w:p>
        </w:tc>
      </w:tr>
      <w:tr w:rsidR="00CF27C9" w:rsidRPr="00CF27C9" w:rsidTr="00FF5231">
        <w:trPr>
          <w:trHeight w:val="803"/>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2) Modificări ale cheltuielilor bugetare, plus/minus, din care:</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442"/>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a) buget de stat, din acestea:</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358"/>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(i) cheltuieli de personal</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311"/>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(ii) bunuri și servicii</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299"/>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b) bugete locale:</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322"/>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(i) cheltuieli de personal</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364"/>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(ii) bunuri și servicii</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498"/>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c) bugetul asigurărilor sociale de stat:</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513"/>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(i) cheltuieli de personal</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554"/>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(ii) bunuri și servicii</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401ADC">
            <w:pPr>
              <w:spacing w:after="0" w:line="240" w:lineRule="auto"/>
              <w:jc w:val="center"/>
              <w:rPr>
                <w:rFonts w:ascii="Times New Roman" w:hAnsi="Times New Roman" w:cs="Times New Roman"/>
                <w:color w:val="000000" w:themeColor="text1"/>
                <w:sz w:val="24"/>
                <w:szCs w:val="24"/>
              </w:rPr>
            </w:pPr>
          </w:p>
        </w:tc>
      </w:tr>
      <w:tr w:rsidR="00F8068A" w:rsidRPr="00CF27C9" w:rsidTr="00FF5231">
        <w:trPr>
          <w:trHeight w:val="913"/>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3) Impact financiar, plus/minus, din care:</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-122,0</w:t>
            </w: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-318,9</w:t>
            </w: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-343,4</w:t>
            </w: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-366,4</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line="240" w:lineRule="auto"/>
              <w:jc w:val="center"/>
              <w:rPr>
                <w:rFonts w:ascii="Times New Roman" w:hAnsi="Times New Roman" w:cs="Times New Roman"/>
                <w:color w:val="000000" w:themeColor="text1"/>
                <w:sz w:val="24"/>
                <w:szCs w:val="24"/>
              </w:rPr>
            </w:pPr>
          </w:p>
        </w:tc>
      </w:tr>
      <w:tr w:rsidR="00F8068A" w:rsidRPr="00CF27C9" w:rsidTr="00FF5231">
        <w:trPr>
          <w:trHeight w:val="572"/>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a) buget de stat</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-122,0</w:t>
            </w: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-318,9</w:t>
            </w: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-343,4</w:t>
            </w: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napToGrid w:val="0"/>
              <w:spacing w:after="0" w:line="240" w:lineRule="auto"/>
              <w:jc w:val="center"/>
              <w:rPr>
                <w:rFonts w:ascii="Times New Roman" w:hAnsi="Times New Roman" w:cs="Times New Roman"/>
                <w:b/>
                <w:color w:val="000000" w:themeColor="text1"/>
                <w:sz w:val="24"/>
                <w:szCs w:val="20"/>
              </w:rPr>
            </w:pPr>
            <w:r>
              <w:t>-366,4</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F8068A" w:rsidRPr="00CF27C9" w:rsidRDefault="00F8068A" w:rsidP="00F8068A">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630"/>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b) bugete locale</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945"/>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4) Propuneri pentru acoperirea creșterii cheltuielilor bugetare</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866"/>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5) Propuneri pentru a compensa reducerea veniturilor bugetare</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1757"/>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6) Calcule detaliate privind fundamentarea modificărilor veniturilor și/sau cheltuielilor bugetare</w:t>
            </w:r>
          </w:p>
        </w:tc>
        <w:tc>
          <w:tcPr>
            <w:tcW w:w="1462"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896"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955"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110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c>
          <w:tcPr>
            <w:tcW w:w="245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1075"/>
        </w:trPr>
        <w:tc>
          <w:tcPr>
            <w:tcW w:w="3011"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lang w:eastAsia="en-US"/>
              </w:rPr>
            </w:pPr>
            <w:r w:rsidRPr="00CF27C9">
              <w:rPr>
                <w:rFonts w:ascii="Times New Roman" w:hAnsi="Times New Roman" w:cs="Times New Roman"/>
                <w:b/>
                <w:color w:val="000000" w:themeColor="text1"/>
                <w:sz w:val="24"/>
                <w:szCs w:val="24"/>
              </w:rPr>
              <w:t>7) Alte informații</w:t>
            </w:r>
          </w:p>
        </w:tc>
        <w:tc>
          <w:tcPr>
            <w:tcW w:w="7804" w:type="dxa"/>
            <w:gridSpan w:val="9"/>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35DB0" w:rsidRPr="00CF27C9" w:rsidRDefault="00635DB0" w:rsidP="00635DB0">
            <w:pPr>
              <w:tabs>
                <w:tab w:val="left" w:pos="1080"/>
              </w:tabs>
              <w:spacing w:after="0" w:line="240" w:lineRule="auto"/>
              <w:jc w:val="both"/>
              <w:rPr>
                <w:rFonts w:ascii="Times New Roman" w:hAnsi="Times New Roman" w:cs="Times New Roman"/>
                <w:color w:val="000000" w:themeColor="text1"/>
                <w:sz w:val="24"/>
                <w:szCs w:val="24"/>
                <w:lang w:eastAsia="en-US"/>
              </w:rPr>
            </w:pPr>
            <w:r w:rsidRPr="00CF27C9">
              <w:rPr>
                <w:rFonts w:ascii="Times New Roman" w:hAnsi="Times New Roman" w:cs="Times New Roman"/>
                <w:b/>
                <w:color w:val="000000" w:themeColor="text1"/>
                <w:sz w:val="24"/>
                <w:szCs w:val="24"/>
                <w:lang w:eastAsia="en-US"/>
              </w:rPr>
              <w:t>I.</w:t>
            </w:r>
            <w:r w:rsidRPr="00CF27C9">
              <w:rPr>
                <w:rFonts w:ascii="Times New Roman" w:hAnsi="Times New Roman" w:cs="Times New Roman"/>
                <w:color w:val="000000" w:themeColor="text1"/>
                <w:sz w:val="24"/>
                <w:szCs w:val="24"/>
                <w:lang w:eastAsia="en-US"/>
              </w:rPr>
              <w:t xml:space="preserve"> Calculul de impact pentru anul 2018 a fost făcut pentru un an fiscal.</w:t>
            </w:r>
          </w:p>
          <w:p w:rsidR="00635DB0" w:rsidRPr="00CF27C9" w:rsidRDefault="00635DB0" w:rsidP="00635DB0">
            <w:pPr>
              <w:tabs>
                <w:tab w:val="left" w:pos="1080"/>
              </w:tabs>
              <w:spacing w:after="0" w:line="240" w:lineRule="auto"/>
              <w:jc w:val="both"/>
              <w:rPr>
                <w:rFonts w:ascii="Times New Roman" w:hAnsi="Times New Roman" w:cs="Times New Roman"/>
                <w:bCs/>
                <w:color w:val="000000" w:themeColor="text1"/>
                <w:sz w:val="24"/>
                <w:szCs w:val="24"/>
              </w:rPr>
            </w:pPr>
            <w:r w:rsidRPr="00CF27C9">
              <w:rPr>
                <w:rFonts w:ascii="Times New Roman" w:hAnsi="Times New Roman" w:cs="Times New Roman"/>
                <w:color w:val="000000" w:themeColor="text1"/>
                <w:sz w:val="24"/>
                <w:szCs w:val="24"/>
                <w:lang w:eastAsia="en-US"/>
              </w:rPr>
              <w:t>În vederea compensării impactului financiar determinat de această ordonanță de urgență pentru măsurile din domeniul impozitului pe profit și din domeniul impozitului pe veniturile microîntreprinderilor, ANAF urmează să întreprindă măsuri care vizează, în principal:</w:t>
            </w:r>
          </w:p>
          <w:p w:rsidR="00635DB0" w:rsidRPr="00CF27C9" w:rsidRDefault="00635DB0" w:rsidP="00635DB0">
            <w:pPr>
              <w:numPr>
                <w:ilvl w:val="0"/>
                <w:numId w:val="4"/>
              </w:numPr>
              <w:tabs>
                <w:tab w:val="left" w:pos="993"/>
              </w:tabs>
              <w:spacing w:before="120" w:after="0"/>
              <w:ind w:left="0" w:firstLine="567"/>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 Realizarea la nivelul tuturor structurilor din DGAF a unor evaluări suplimentare care să vizeze posibilele practici utilizate de entitățile ce vor fi incluse în control, menite să transfere active și/sau sume de bani către alte entități cu scopul de a îngreuna activitățile de recuperare a sumelor stabilite de ANAF prin structurile de control, cu titlul de prejudiciu.</w:t>
            </w:r>
          </w:p>
          <w:p w:rsidR="00635DB0" w:rsidRPr="00CF27C9" w:rsidRDefault="00635DB0" w:rsidP="00635DB0">
            <w:pPr>
              <w:numPr>
                <w:ilvl w:val="0"/>
                <w:numId w:val="4"/>
              </w:numPr>
              <w:tabs>
                <w:tab w:val="left" w:pos="993"/>
              </w:tabs>
              <w:spacing w:before="120" w:after="0"/>
              <w:ind w:left="0" w:firstLine="567"/>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 Inițierea unui proiect de evaluare și analiză la nivelul structurii centrale DGAF-DARSP și a serviciilor de analiză și programare pe următoarele coordonate:</w:t>
            </w:r>
          </w:p>
          <w:p w:rsidR="00635DB0" w:rsidRPr="00CF27C9" w:rsidRDefault="00635DB0" w:rsidP="00635DB0">
            <w:pPr>
              <w:numPr>
                <w:ilvl w:val="0"/>
                <w:numId w:val="5"/>
              </w:numPr>
              <w:spacing w:before="57" w:after="0"/>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Valorificarea datelor primite de la nivelul DGTI cu privire la sumele declarate și neachitate în anul 2018 de contribuabili în sensul agregării acestora la nivel de cod CAEN și includerea în analiza de risc cu prioritate a primelor 13 coduri CAEN (debite totale neachitate peste 50 mil lei) care contribuie în proporția cea mai mare la totalul sumelor neîncasate.</w:t>
            </w:r>
          </w:p>
          <w:p w:rsidR="00635DB0" w:rsidRPr="00CF27C9" w:rsidRDefault="00635DB0" w:rsidP="00635DB0">
            <w:pPr>
              <w:numPr>
                <w:ilvl w:val="0"/>
                <w:numId w:val="5"/>
              </w:numPr>
              <w:spacing w:before="57" w:after="0"/>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Evaluarea din bazele de date existente la nivelul ANAF a situației patrimoniale a societăților ce fac obiectul analizelor de risc și utilizarea acestor informații ca și criteriu de prioritizare a controalelor antifraudă, având în vedere că în cazul societăților care au obligații fiscale neachitate dar valoarea patrimoniului este semnificativ mai mică, încasarea acestora se realizează cu dificultate și nu contribuie la diminuarea arieratelor și creșterea gradului de colectare la nivelul ANAF.</w:t>
            </w:r>
          </w:p>
          <w:p w:rsidR="00635DB0" w:rsidRPr="00CF27C9" w:rsidRDefault="00635DB0" w:rsidP="00635DB0">
            <w:pPr>
              <w:pStyle w:val="ListParagraph"/>
              <w:numPr>
                <w:ilvl w:val="0"/>
                <w:numId w:val="4"/>
              </w:numPr>
              <w:tabs>
                <w:tab w:val="left" w:pos="993"/>
              </w:tabs>
              <w:spacing w:before="120" w:after="0"/>
              <w:ind w:left="0" w:firstLine="567"/>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 Monitorizarea achizițiilor intracomunitare – acțiune cu caracter permanent.</w:t>
            </w:r>
          </w:p>
          <w:p w:rsidR="00635DB0" w:rsidRPr="00CF27C9" w:rsidRDefault="00635DB0" w:rsidP="00635DB0">
            <w:pPr>
              <w:pStyle w:val="ListParagraph"/>
              <w:numPr>
                <w:ilvl w:val="0"/>
                <w:numId w:val="4"/>
              </w:numPr>
              <w:tabs>
                <w:tab w:val="left" w:pos="993"/>
              </w:tabs>
              <w:spacing w:before="120" w:after="0"/>
              <w:ind w:left="0" w:firstLine="567"/>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 Monitorizarea în colaborare cu organele vamale a importurilor mărfurilor cu risc fiscal ridicat, activitate destinata în principal identificării schemelor de punere în liberă circulație a mărfurilor în România cu nerespectarea obligațiilor fiscale aferente.</w:t>
            </w:r>
          </w:p>
          <w:p w:rsidR="00635DB0" w:rsidRPr="00CF27C9" w:rsidRDefault="00635DB0" w:rsidP="00635DB0">
            <w:pPr>
              <w:pStyle w:val="ListParagraph"/>
              <w:numPr>
                <w:ilvl w:val="0"/>
                <w:numId w:val="4"/>
              </w:numPr>
              <w:tabs>
                <w:tab w:val="left" w:pos="993"/>
              </w:tabs>
              <w:spacing w:before="120" w:after="0"/>
              <w:ind w:left="0" w:firstLine="567"/>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 Desfășurarea de acțiuni comune cu autoritatea vamală, reprezentanții IGPR și IGPF vizând activitatea desfășurată de entitățile care efectuează importuri de bunuri în România.</w:t>
            </w:r>
          </w:p>
          <w:p w:rsidR="00635DB0" w:rsidRPr="00CF27C9" w:rsidRDefault="00635DB0" w:rsidP="00635DB0">
            <w:pPr>
              <w:pStyle w:val="ListParagraph"/>
              <w:numPr>
                <w:ilvl w:val="0"/>
                <w:numId w:val="4"/>
              </w:numPr>
              <w:tabs>
                <w:tab w:val="left" w:pos="993"/>
              </w:tabs>
              <w:spacing w:before="120" w:after="0"/>
              <w:ind w:left="0" w:firstLine="567"/>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 Desfășurarea de acțiuni privind verificarea tranzacțiilor constând în tranzacții intracomunitare cu autovehicule second hand.</w:t>
            </w:r>
          </w:p>
          <w:p w:rsidR="00635DB0" w:rsidRPr="00CF27C9" w:rsidRDefault="00635DB0" w:rsidP="00635DB0">
            <w:pPr>
              <w:pStyle w:val="ListParagraph"/>
              <w:numPr>
                <w:ilvl w:val="0"/>
                <w:numId w:val="4"/>
              </w:numPr>
              <w:tabs>
                <w:tab w:val="left" w:pos="993"/>
              </w:tabs>
              <w:spacing w:before="120" w:after="0"/>
              <w:ind w:left="0" w:firstLine="567"/>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 Efectuarea de acțiuni de monitorizare și control în principalele centre de comercializare en-gross a mărfurilor cu risc fiscal ridicat.</w:t>
            </w:r>
          </w:p>
          <w:p w:rsidR="00635DB0" w:rsidRPr="00CF27C9" w:rsidRDefault="00635DB0" w:rsidP="00635DB0">
            <w:pPr>
              <w:pStyle w:val="ListParagraph"/>
              <w:numPr>
                <w:ilvl w:val="0"/>
                <w:numId w:val="4"/>
              </w:numPr>
              <w:tabs>
                <w:tab w:val="left" w:pos="993"/>
              </w:tabs>
              <w:spacing w:before="120" w:after="0"/>
              <w:ind w:left="0" w:firstLine="567"/>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 Intensificarea monitorizării activităților de comerț desfășurate în mediul online și efectuarea de controale antifraudă la entitățile cu riscuri fiscale semnificative identificate.</w:t>
            </w:r>
          </w:p>
          <w:p w:rsidR="00635DB0" w:rsidRPr="00CF27C9" w:rsidRDefault="00635DB0" w:rsidP="00635DB0">
            <w:pPr>
              <w:pStyle w:val="ListParagraph"/>
              <w:numPr>
                <w:ilvl w:val="0"/>
                <w:numId w:val="4"/>
              </w:numPr>
              <w:tabs>
                <w:tab w:val="left" w:pos="993"/>
              </w:tabs>
              <w:spacing w:before="120" w:after="0"/>
              <w:ind w:left="0" w:firstLine="567"/>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 Intensificarea efectuării de controale inopinate la contribuabili cu risc fiscal ridicat și pentru care există un grad ridicat de certitudine în ceea ce privește stabilirea de obligații fiscale suplimentare de plată.</w:t>
            </w:r>
          </w:p>
          <w:p w:rsidR="00635DB0" w:rsidRPr="00CF27C9" w:rsidRDefault="00635DB0" w:rsidP="00635DB0">
            <w:pPr>
              <w:pStyle w:val="ListParagraph"/>
              <w:numPr>
                <w:ilvl w:val="0"/>
                <w:numId w:val="4"/>
              </w:numPr>
              <w:tabs>
                <w:tab w:val="left" w:pos="993"/>
              </w:tabs>
              <w:spacing w:before="120" w:after="0"/>
              <w:ind w:left="0" w:firstLine="567"/>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 Intensificarea controalelor fiscale la contribuabili care au înregistrat o diminuare a obligațiilor fiscale declarate față de perioadele anterioare.</w:t>
            </w:r>
          </w:p>
          <w:p w:rsidR="00635DB0" w:rsidRPr="00CF27C9" w:rsidRDefault="00635DB0" w:rsidP="00635DB0">
            <w:pPr>
              <w:pStyle w:val="ListParagraph"/>
              <w:numPr>
                <w:ilvl w:val="0"/>
                <w:numId w:val="4"/>
              </w:numPr>
              <w:tabs>
                <w:tab w:val="left" w:pos="993"/>
              </w:tabs>
              <w:spacing w:before="120" w:after="0"/>
              <w:ind w:left="0" w:firstLine="567"/>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 Îmbunătățirea analizei de risc și a selectării contribuabililor pentru inspecție fiscală prin diversificarea criteriilor de risc folosite în vederea identificării unui grup țintă de contribuabili, respectiv o ramură economică, un sector de activitate sau de servicii în cadrul căruia au fost identificate diminuări de obligații fiscale.</w:t>
            </w:r>
          </w:p>
          <w:p w:rsidR="00635DB0" w:rsidRPr="00CF27C9" w:rsidRDefault="00635DB0" w:rsidP="00635DB0">
            <w:pPr>
              <w:pStyle w:val="ListParagraph"/>
              <w:numPr>
                <w:ilvl w:val="0"/>
                <w:numId w:val="4"/>
              </w:numPr>
              <w:tabs>
                <w:tab w:val="left" w:pos="993"/>
              </w:tabs>
              <w:spacing w:before="120" w:after="0"/>
              <w:ind w:left="0" w:firstLine="567"/>
              <w:jc w:val="both"/>
              <w:rPr>
                <w:rFonts w:ascii="Times New Roman" w:hAnsi="Times New Roman" w:cs="Times New Roman"/>
                <w:color w:val="000000" w:themeColor="text1"/>
                <w:sz w:val="24"/>
                <w:szCs w:val="24"/>
              </w:rPr>
            </w:pPr>
            <w:r w:rsidRPr="00CF27C9">
              <w:rPr>
                <w:rFonts w:ascii="Times New Roman" w:hAnsi="Times New Roman" w:cs="Times New Roman"/>
                <w:bCs/>
                <w:color w:val="000000" w:themeColor="text1"/>
                <w:sz w:val="24"/>
                <w:szCs w:val="24"/>
              </w:rPr>
              <w:t>. Eficientizarea activității de inspecție fiscală prin punerea în aplicare a prevederilor art.117 din Legea nr.207/2015 privind codul de procedură fiscală, așa cum a fost modificat de OG nr.30/2017, prin care s-a stabilit că selectarea perioadelor care vor fi supuse inspecției fiscale se va efectua în funcție de riscul fiscal identificat. Prin această măsură se va asigura reducerea duratei inspecției fiscale, aspect care va conduce la creșterea numărului de inspecții fiscale ce vor fi derulate în anul 2018.</w:t>
            </w:r>
          </w:p>
          <w:p w:rsidR="00635DB0" w:rsidRPr="00CF27C9" w:rsidRDefault="00635DB0" w:rsidP="00635DB0">
            <w:pPr>
              <w:pStyle w:val="ListParagraph"/>
              <w:numPr>
                <w:ilvl w:val="0"/>
                <w:numId w:val="4"/>
              </w:numPr>
              <w:tabs>
                <w:tab w:val="left" w:pos="993"/>
              </w:tabs>
              <w:spacing w:before="120" w:after="0"/>
              <w:ind w:left="0" w:firstLine="567"/>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Monitorizarea permanentă a tuturor formelor de executare silită a debitorilor.</w:t>
            </w:r>
          </w:p>
          <w:p w:rsidR="00635DB0" w:rsidRPr="00CF27C9" w:rsidRDefault="00635DB0" w:rsidP="00635DB0">
            <w:pPr>
              <w:pStyle w:val="ListParagraph"/>
              <w:numPr>
                <w:ilvl w:val="0"/>
                <w:numId w:val="4"/>
              </w:numPr>
              <w:tabs>
                <w:tab w:val="left" w:pos="993"/>
              </w:tabs>
              <w:spacing w:before="120" w:after="0"/>
              <w:ind w:left="0" w:firstLine="567"/>
              <w:jc w:val="both"/>
              <w:rPr>
                <w:rFonts w:ascii="Times New Roman" w:eastAsia="Calibri" w:hAnsi="Times New Roman" w:cs="Times New Roman"/>
                <w:color w:val="000000" w:themeColor="text1"/>
                <w:sz w:val="24"/>
                <w:szCs w:val="24"/>
              </w:rPr>
            </w:pPr>
            <w:r w:rsidRPr="00CF27C9">
              <w:rPr>
                <w:rFonts w:ascii="Times New Roman" w:hAnsi="Times New Roman" w:cs="Times New Roman"/>
                <w:color w:val="000000" w:themeColor="text1"/>
                <w:sz w:val="24"/>
                <w:szCs w:val="24"/>
              </w:rPr>
              <w:t>. Organizarea de acțiuni complexe de executare silita la debitorii semnificativi ai bugetului general consolidat, în vederea identificării metodelor de sustragere de la plata obligațiilor fiscale prin investigarea debitorului persoană juridică, a societăților afiliate acestora, în corelație cu patrimoniul persoanelor fizice care pot avea calitatea de persoană asupra căreia poate fi atrasă răspunderea solidara sau patrimoniala.</w:t>
            </w:r>
          </w:p>
          <w:p w:rsidR="00635DB0" w:rsidRPr="00CF27C9" w:rsidRDefault="00635DB0" w:rsidP="00635DB0">
            <w:pPr>
              <w:pStyle w:val="ListParagraph"/>
              <w:numPr>
                <w:ilvl w:val="0"/>
                <w:numId w:val="4"/>
              </w:numPr>
              <w:tabs>
                <w:tab w:val="left" w:pos="993"/>
              </w:tabs>
              <w:spacing w:before="120" w:after="0"/>
              <w:ind w:left="0" w:firstLine="567"/>
              <w:jc w:val="both"/>
              <w:rPr>
                <w:rFonts w:ascii="Times New Roman" w:eastAsia="Calibri" w:hAnsi="Times New Roman" w:cs="Times New Roman"/>
                <w:b/>
                <w:bCs/>
                <w:color w:val="000000" w:themeColor="text1"/>
                <w:sz w:val="24"/>
                <w:szCs w:val="24"/>
              </w:rPr>
            </w:pPr>
            <w:r w:rsidRPr="00CF27C9">
              <w:rPr>
                <w:rFonts w:ascii="Times New Roman" w:eastAsia="Calibri" w:hAnsi="Times New Roman" w:cs="Times New Roman"/>
                <w:color w:val="000000" w:themeColor="text1"/>
                <w:sz w:val="24"/>
                <w:szCs w:val="24"/>
              </w:rPr>
              <w:t>. Verificarea situației debitorilor care nu figurează in baza de date cu conturi bancare și înregistrează obligații restante pentru luarea tuturor măsurilor de identificare a conturilor bancare din surse alternative, respectiv: deconturi TVA, tranzacții bancare în trezorerie, identificarea în evidența contabilă a debitorilor prin solicitarea documentelor acestora conform art. 58 din CPF, sau prin deplasări la domiciliu fiscal al debitorului.</w:t>
            </w:r>
          </w:p>
          <w:p w:rsidR="00635DB0" w:rsidRPr="00CF27C9" w:rsidRDefault="00635DB0" w:rsidP="00635DB0">
            <w:pPr>
              <w:tabs>
                <w:tab w:val="left" w:pos="993"/>
              </w:tabs>
              <w:spacing w:before="240" w:after="0"/>
              <w:ind w:firstLine="567"/>
              <w:jc w:val="both"/>
              <w:rPr>
                <w:rFonts w:ascii="Times New Roman" w:eastAsia="Calibri" w:hAnsi="Times New Roman" w:cs="Times New Roman"/>
                <w:b/>
                <w:bCs/>
                <w:color w:val="000000" w:themeColor="text1"/>
                <w:sz w:val="24"/>
                <w:szCs w:val="24"/>
              </w:rPr>
            </w:pPr>
            <w:r w:rsidRPr="00CF27C9">
              <w:rPr>
                <w:rFonts w:ascii="Times New Roman" w:eastAsia="Calibri" w:hAnsi="Times New Roman" w:cs="Times New Roman"/>
                <w:b/>
                <w:bCs/>
                <w:color w:val="000000" w:themeColor="text1"/>
                <w:sz w:val="24"/>
                <w:szCs w:val="24"/>
              </w:rPr>
              <w:t>Având în vedere liniile de acțiune propuse a fi realizate, ținând cont și de trendul pozitiv al încasărilor aferente perioadei 2017 – februarie 2018, se estimează o creștere a încasărilor la bugetul general consolidat de cca. 0,6 mld. lei.</w:t>
            </w:r>
          </w:p>
          <w:p w:rsidR="00635DB0" w:rsidRPr="00944680" w:rsidRDefault="00635DB0" w:rsidP="00635DB0">
            <w:pPr>
              <w:suppressAutoHyphens w:val="0"/>
              <w:spacing w:after="0"/>
              <w:jc w:val="both"/>
              <w:rPr>
                <w:rFonts w:ascii="Times New Roman" w:hAnsi="Times New Roman" w:cs="Times New Roman"/>
                <w:color w:val="000000" w:themeColor="text1"/>
                <w:sz w:val="24"/>
                <w:szCs w:val="24"/>
                <w:lang w:eastAsia="en-GB"/>
              </w:rPr>
            </w:pPr>
          </w:p>
        </w:tc>
      </w:tr>
      <w:tr w:rsidR="00CF27C9" w:rsidRPr="00CF27C9" w:rsidTr="00C140E8">
        <w:trPr>
          <w:trHeight w:val="771"/>
        </w:trPr>
        <w:tc>
          <w:tcPr>
            <w:tcW w:w="10815" w:type="dxa"/>
            <w:gridSpan w:val="11"/>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Secțiunea a 5-a</w:t>
            </w:r>
          </w:p>
          <w:p w:rsidR="00635DB0" w:rsidRPr="00CF27C9" w:rsidRDefault="00635DB0" w:rsidP="00635DB0">
            <w:pPr>
              <w:spacing w:after="0" w:line="240" w:lineRule="auto"/>
              <w:jc w:val="center"/>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Efectele proiectului de act normativ asupra legislației în vigoare</w:t>
            </w:r>
          </w:p>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2117"/>
        </w:trPr>
        <w:tc>
          <w:tcPr>
            <w:tcW w:w="5960"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r w:rsidRPr="00CF27C9">
              <w:rPr>
                <w:rFonts w:ascii="Times New Roman" w:hAnsi="Times New Roman" w:cs="Times New Roman"/>
                <w:b/>
                <w:iCs/>
                <w:color w:val="000000" w:themeColor="text1"/>
                <w:sz w:val="24"/>
                <w:szCs w:val="24"/>
              </w:rPr>
              <w:t>1.</w:t>
            </w:r>
            <w:r w:rsidRPr="00CF27C9">
              <w:rPr>
                <w:rFonts w:ascii="Times New Roman" w:hAnsi="Times New Roman" w:cs="Times New Roman"/>
                <w:b/>
                <w:color w:val="000000" w:themeColor="text1"/>
                <w:sz w:val="24"/>
                <w:szCs w:val="24"/>
              </w:rPr>
              <w:t xml:space="preserve"> Măsuri normative necesare pentru aplicarea prevederilor proiectului de act normativ:</w:t>
            </w: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r w:rsidRPr="00CF27C9">
              <w:rPr>
                <w:rFonts w:ascii="Times New Roman" w:hAnsi="Times New Roman" w:cs="Times New Roman"/>
                <w:b/>
                <w:color w:val="000000" w:themeColor="text1"/>
                <w:sz w:val="24"/>
                <w:szCs w:val="24"/>
              </w:rPr>
              <w:t>a) acte normative în vigoare ce vor fi modificate sau abrogate, ca urmare a intrării în vigoare a proiectului de act normativ;</w:t>
            </w: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b/>
                <w:color w:val="000000" w:themeColor="text1"/>
                <w:sz w:val="24"/>
                <w:szCs w:val="24"/>
              </w:rPr>
            </w:pPr>
          </w:p>
          <w:p w:rsidR="00F729FB" w:rsidRPr="00CF27C9" w:rsidRDefault="00F729FB" w:rsidP="00635DB0">
            <w:pPr>
              <w:spacing w:after="0" w:line="240" w:lineRule="auto"/>
              <w:jc w:val="both"/>
              <w:rPr>
                <w:rFonts w:ascii="Times New Roman" w:hAnsi="Times New Roman" w:cs="Times New Roman"/>
                <w:b/>
                <w:color w:val="000000" w:themeColor="text1"/>
                <w:sz w:val="24"/>
                <w:szCs w:val="24"/>
              </w:rPr>
            </w:pPr>
          </w:p>
          <w:p w:rsidR="00F729FB" w:rsidRPr="00CF27C9" w:rsidRDefault="00F729FB" w:rsidP="00635DB0">
            <w:pPr>
              <w:spacing w:after="0" w:line="240" w:lineRule="auto"/>
              <w:jc w:val="both"/>
              <w:rPr>
                <w:rFonts w:ascii="Times New Roman" w:hAnsi="Times New Roman" w:cs="Times New Roman"/>
                <w:b/>
                <w:color w:val="000000" w:themeColor="text1"/>
                <w:sz w:val="24"/>
                <w:szCs w:val="24"/>
              </w:rPr>
            </w:pPr>
          </w:p>
          <w:p w:rsidR="00F729FB" w:rsidRPr="00CF27C9" w:rsidRDefault="00F729FB" w:rsidP="00635DB0">
            <w:pPr>
              <w:spacing w:after="0" w:line="240" w:lineRule="auto"/>
              <w:jc w:val="both"/>
              <w:rPr>
                <w:rFonts w:ascii="Times New Roman" w:hAnsi="Times New Roman" w:cs="Times New Roman"/>
                <w:b/>
                <w:color w:val="000000" w:themeColor="text1"/>
                <w:sz w:val="24"/>
                <w:szCs w:val="24"/>
              </w:rPr>
            </w:pPr>
          </w:p>
          <w:p w:rsidR="00F729FB" w:rsidRPr="00CF27C9" w:rsidRDefault="00F729FB" w:rsidP="00635DB0">
            <w:pPr>
              <w:spacing w:after="0" w:line="240" w:lineRule="auto"/>
              <w:jc w:val="both"/>
              <w:rPr>
                <w:rFonts w:ascii="Times New Roman" w:hAnsi="Times New Roman" w:cs="Times New Roman"/>
                <w:b/>
                <w:color w:val="000000" w:themeColor="text1"/>
                <w:sz w:val="24"/>
                <w:szCs w:val="24"/>
              </w:rPr>
            </w:pPr>
          </w:p>
          <w:p w:rsidR="00F729FB" w:rsidRPr="00CF27C9" w:rsidRDefault="00F729FB" w:rsidP="00635DB0">
            <w:pPr>
              <w:spacing w:after="0" w:line="240" w:lineRule="auto"/>
              <w:jc w:val="both"/>
              <w:rPr>
                <w:rFonts w:ascii="Times New Roman" w:hAnsi="Times New Roman" w:cs="Times New Roman"/>
                <w:b/>
                <w:color w:val="000000" w:themeColor="text1"/>
                <w:sz w:val="24"/>
                <w:szCs w:val="24"/>
              </w:rPr>
            </w:pPr>
          </w:p>
          <w:p w:rsidR="00F729FB" w:rsidRPr="00CF27C9" w:rsidRDefault="00F729FB" w:rsidP="00635DB0">
            <w:pPr>
              <w:spacing w:after="0" w:line="240" w:lineRule="auto"/>
              <w:jc w:val="both"/>
              <w:rPr>
                <w:rFonts w:ascii="Times New Roman" w:hAnsi="Times New Roman" w:cs="Times New Roman"/>
                <w:b/>
                <w:color w:val="000000" w:themeColor="text1"/>
                <w:sz w:val="24"/>
                <w:szCs w:val="24"/>
              </w:rPr>
            </w:pPr>
          </w:p>
          <w:p w:rsidR="00F729FB" w:rsidRPr="00CF27C9" w:rsidRDefault="00F729FB" w:rsidP="00635DB0">
            <w:pPr>
              <w:spacing w:after="0" w:line="240" w:lineRule="auto"/>
              <w:jc w:val="both"/>
              <w:rPr>
                <w:rFonts w:ascii="Times New Roman" w:hAnsi="Times New Roman" w:cs="Times New Roman"/>
                <w:b/>
                <w:color w:val="000000" w:themeColor="text1"/>
                <w:sz w:val="24"/>
                <w:szCs w:val="24"/>
              </w:rPr>
            </w:pPr>
          </w:p>
          <w:p w:rsidR="00635DB0" w:rsidRPr="00CF27C9" w:rsidRDefault="00635DB0" w:rsidP="00635DB0">
            <w:pPr>
              <w:spacing w:after="0" w:line="240" w:lineRule="auto"/>
              <w:jc w:val="both"/>
              <w:rPr>
                <w:rFonts w:ascii="Times New Roman" w:hAnsi="Times New Roman" w:cs="Times New Roman"/>
                <w:color w:val="000000" w:themeColor="text1"/>
                <w:sz w:val="24"/>
                <w:szCs w:val="24"/>
                <w:lang w:eastAsia="en-US"/>
              </w:rPr>
            </w:pPr>
            <w:r w:rsidRPr="00CF27C9">
              <w:rPr>
                <w:rFonts w:ascii="Times New Roman" w:hAnsi="Times New Roman" w:cs="Times New Roman"/>
                <w:b/>
                <w:color w:val="000000" w:themeColor="text1"/>
                <w:sz w:val="24"/>
                <w:szCs w:val="24"/>
              </w:rPr>
              <w:t>b) acte normative ce urmează a fi elaborate în vederea implementării noilor dispoziții.</w:t>
            </w:r>
          </w:p>
        </w:tc>
        <w:tc>
          <w:tcPr>
            <w:tcW w:w="4855"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35DB0" w:rsidRPr="00CF27C9" w:rsidRDefault="00635DB0" w:rsidP="00635DB0">
            <w:pPr>
              <w:spacing w:after="0" w:line="240" w:lineRule="auto"/>
              <w:jc w:val="both"/>
              <w:rPr>
                <w:rFonts w:ascii="Times New Roman" w:hAnsi="Times New Roman" w:cs="Times New Roman"/>
                <w:color w:val="000000" w:themeColor="text1"/>
                <w:sz w:val="24"/>
                <w:szCs w:val="24"/>
                <w:lang w:eastAsia="en-US"/>
              </w:rPr>
            </w:pPr>
          </w:p>
          <w:p w:rsidR="00635DB0" w:rsidRPr="00CF27C9" w:rsidRDefault="00635DB0" w:rsidP="00635DB0">
            <w:pPr>
              <w:spacing w:after="0" w:line="240" w:lineRule="auto"/>
              <w:jc w:val="both"/>
              <w:rPr>
                <w:rFonts w:ascii="Times New Roman" w:hAnsi="Times New Roman" w:cs="Times New Roman"/>
                <w:color w:val="000000" w:themeColor="text1"/>
                <w:sz w:val="24"/>
                <w:szCs w:val="24"/>
                <w:lang w:eastAsia="en-US"/>
              </w:rPr>
            </w:pPr>
          </w:p>
          <w:p w:rsidR="00635DB0" w:rsidRPr="00CF27C9" w:rsidRDefault="00635DB0" w:rsidP="00635DB0">
            <w:pPr>
              <w:autoSpaceDE w:val="0"/>
              <w:spacing w:after="0" w:line="240" w:lineRule="auto"/>
              <w:jc w:val="both"/>
              <w:rPr>
                <w:rFonts w:ascii="Times New Roman" w:hAnsi="Times New Roman" w:cs="Times New Roman"/>
                <w:color w:val="000000" w:themeColor="text1"/>
                <w:sz w:val="24"/>
                <w:szCs w:val="24"/>
                <w:lang w:eastAsia="en-US"/>
              </w:rPr>
            </w:pPr>
            <w:r w:rsidRPr="00CF27C9">
              <w:rPr>
                <w:rFonts w:ascii="Times New Roman" w:hAnsi="Times New Roman" w:cs="Times New Roman"/>
                <w:color w:val="000000" w:themeColor="text1"/>
                <w:sz w:val="24"/>
                <w:szCs w:val="24"/>
                <w:lang w:eastAsia="en-US"/>
              </w:rPr>
              <w:t>- Se modifică modelul</w:t>
            </w:r>
            <w:r w:rsidR="00A543E3" w:rsidRPr="00CF27C9">
              <w:rPr>
                <w:rFonts w:ascii="Times New Roman" w:hAnsi="Times New Roman" w:cs="Times New Roman"/>
                <w:color w:val="000000" w:themeColor="text1"/>
                <w:sz w:val="24"/>
                <w:szCs w:val="24"/>
                <w:lang w:eastAsia="en-US"/>
              </w:rPr>
              <w:t xml:space="preserve"> </w:t>
            </w:r>
            <w:r w:rsidRPr="00CF27C9">
              <w:rPr>
                <w:rFonts w:ascii="Times New Roman" w:hAnsi="Times New Roman" w:cs="Times New Roman"/>
                <w:color w:val="000000" w:themeColor="text1"/>
                <w:sz w:val="24"/>
                <w:szCs w:val="24"/>
                <w:lang w:eastAsia="en-US"/>
              </w:rPr>
              <w:t>de cerere privind restituirea sumelor reprezentând taxa specială pentru autoturisme şi autovehicule, taxa pe poluare pentru autovehicule, taxa pentru emisiile poluante provenite de la autovehicule şi timbrul de mediu pentru autovehicule, aprobat prin Ordinul</w:t>
            </w:r>
            <w:r w:rsidRPr="00CF27C9">
              <w:rPr>
                <w:rFonts w:ascii="Times New Roman" w:hAnsi="Times New Roman" w:cs="Times New Roman"/>
                <w:iCs/>
                <w:color w:val="000000" w:themeColor="text1"/>
                <w:sz w:val="24"/>
                <w:szCs w:val="24"/>
                <w:lang w:eastAsia="en-US"/>
              </w:rPr>
              <w:t xml:space="preserve"> viceprim-ministrului, ministrul mediului și al ministrului finanțelor publice nr. </w:t>
            </w:r>
            <w:r w:rsidRPr="00CF27C9">
              <w:rPr>
                <w:rFonts w:ascii="Times New Roman" w:hAnsi="Times New Roman" w:cs="Times New Roman"/>
                <w:color w:val="000000" w:themeColor="text1"/>
                <w:sz w:val="24"/>
                <w:szCs w:val="24"/>
                <w:lang w:eastAsia="en-US"/>
              </w:rPr>
              <w:t xml:space="preserve"> 1144/1672/2017.</w:t>
            </w:r>
          </w:p>
          <w:p w:rsidR="00635DB0" w:rsidRPr="00CF27C9" w:rsidRDefault="00635DB0" w:rsidP="00635DB0">
            <w:pPr>
              <w:autoSpaceDE w:val="0"/>
              <w:spacing w:after="0" w:line="240" w:lineRule="auto"/>
              <w:jc w:val="both"/>
              <w:rPr>
                <w:rFonts w:ascii="Times New Roman" w:hAnsi="Times New Roman" w:cs="Times New Roman"/>
                <w:color w:val="000000" w:themeColor="text1"/>
                <w:sz w:val="24"/>
                <w:szCs w:val="24"/>
                <w:lang w:eastAsia="en-US"/>
              </w:rPr>
            </w:pPr>
            <w:r w:rsidRPr="00CF27C9">
              <w:rPr>
                <w:rFonts w:ascii="Times New Roman" w:hAnsi="Times New Roman" w:cs="Times New Roman"/>
                <w:color w:val="000000" w:themeColor="text1"/>
                <w:sz w:val="24"/>
                <w:szCs w:val="24"/>
                <w:lang w:eastAsia="en-US"/>
              </w:rPr>
              <w:t>- Se modifică Normele metodologice de aplicare a Ordonanței de urgență a Guvernului nr.52/2017 privind restituirea sumelor reprezentând taxa specială pentru autoturisme şi autovehicule, taxa pe poluare pentru autovehicule, taxa pentru emisiile poluante provenite de la autovehicule şi timbrul de mediu pentru autovehicule aprobate prin Ordinul</w:t>
            </w:r>
            <w:r w:rsidRPr="00CF27C9">
              <w:rPr>
                <w:rFonts w:ascii="Arial" w:hAnsi="Arial" w:cs="Times New Roman"/>
                <w:iCs/>
                <w:color w:val="000000" w:themeColor="text1"/>
                <w:sz w:val="26"/>
                <w:szCs w:val="26"/>
              </w:rPr>
              <w:t xml:space="preserve"> </w:t>
            </w:r>
            <w:r w:rsidRPr="00CF27C9">
              <w:rPr>
                <w:rFonts w:ascii="Times New Roman" w:hAnsi="Times New Roman" w:cs="Times New Roman"/>
                <w:iCs/>
                <w:color w:val="000000" w:themeColor="text1"/>
                <w:sz w:val="24"/>
                <w:szCs w:val="24"/>
                <w:lang w:eastAsia="en-US"/>
              </w:rPr>
              <w:t>viceprim-ministrului, ministrul mediului și al ministrului finanțelor publice nr. 1488/3198/2017.</w:t>
            </w:r>
            <w:r w:rsidRPr="00CF27C9">
              <w:rPr>
                <w:rFonts w:ascii="Times New Roman" w:hAnsi="Times New Roman" w:cs="Times New Roman"/>
                <w:color w:val="000000" w:themeColor="text1"/>
                <w:sz w:val="24"/>
                <w:szCs w:val="24"/>
                <w:lang w:eastAsia="en-US"/>
              </w:rPr>
              <w:t xml:space="preserve"> </w:t>
            </w:r>
          </w:p>
          <w:p w:rsidR="00635DB0" w:rsidRPr="00944680" w:rsidRDefault="00635DB0" w:rsidP="00635DB0">
            <w:pPr>
              <w:spacing w:after="0" w:line="240" w:lineRule="auto"/>
              <w:jc w:val="both"/>
              <w:rPr>
                <w:rFonts w:ascii="Times New Roman" w:hAnsi="Times New Roman" w:cs="Times New Roman"/>
                <w:color w:val="000000" w:themeColor="text1"/>
                <w:sz w:val="24"/>
                <w:szCs w:val="24"/>
                <w:lang w:val="fr-BE" w:eastAsia="en-US"/>
              </w:rPr>
            </w:pPr>
            <w:r w:rsidRPr="00CF27C9">
              <w:rPr>
                <w:rFonts w:ascii="Times New Roman" w:hAnsi="Times New Roman" w:cs="Times New Roman"/>
                <w:color w:val="000000" w:themeColor="text1"/>
                <w:sz w:val="24"/>
                <w:szCs w:val="24"/>
                <w:lang w:eastAsia="en-US"/>
              </w:rPr>
              <w:t>-</w:t>
            </w:r>
            <w:r w:rsidRPr="00944680">
              <w:rPr>
                <w:rFonts w:ascii="Times New Roman" w:hAnsi="Times New Roman" w:cs="Times New Roman"/>
                <w:color w:val="000000" w:themeColor="text1"/>
                <w:sz w:val="28"/>
                <w:szCs w:val="28"/>
                <w:lang w:val="fr-BE" w:eastAsia="en-GB"/>
              </w:rPr>
              <w:t xml:space="preserve"> </w:t>
            </w:r>
            <w:r w:rsidR="00A543E3" w:rsidRPr="00CF27C9">
              <w:rPr>
                <w:rFonts w:ascii="Times New Roman" w:hAnsi="Times New Roman" w:cs="Times New Roman"/>
                <w:color w:val="000000" w:themeColor="text1"/>
                <w:sz w:val="24"/>
                <w:szCs w:val="24"/>
                <w:lang w:eastAsia="en-US"/>
              </w:rPr>
              <w:t xml:space="preserve">Se modifică </w:t>
            </w:r>
            <w:r w:rsidRPr="00CF27C9">
              <w:rPr>
                <w:rFonts w:ascii="Times New Roman" w:hAnsi="Times New Roman" w:cs="Times New Roman"/>
                <w:color w:val="000000" w:themeColor="text1"/>
                <w:sz w:val="24"/>
                <w:szCs w:val="24"/>
              </w:rPr>
              <w:t xml:space="preserve">Ordinul președintelui </w:t>
            </w:r>
            <w:r w:rsidRPr="00CF27C9">
              <w:rPr>
                <w:rFonts w:ascii="Times New Roman" w:hAnsi="Times New Roman" w:cs="Times New Roman"/>
                <w:color w:val="000000" w:themeColor="text1"/>
                <w:sz w:val="24"/>
                <w:szCs w:val="24"/>
                <w:lang w:eastAsia="en-US"/>
              </w:rPr>
              <w:t xml:space="preserve">Agenției Naționale de Administrare Fiscală nr.90/2016 </w:t>
            </w:r>
            <w:r w:rsidRPr="00944680">
              <w:rPr>
                <w:rFonts w:ascii="Times New Roman" w:hAnsi="Times New Roman" w:cs="Times New Roman"/>
                <w:color w:val="000000" w:themeColor="text1"/>
                <w:sz w:val="24"/>
                <w:szCs w:val="24"/>
                <w:lang w:val="fr-BE" w:eastAsia="en-US"/>
              </w:rPr>
              <w:t>pentru aprobarea conţinutului cererii de acordare a eşalonării la plată şi a documentelor justificative anexate acesteia, precum şi a Procedurii de aplicare a acordării eşalonării la plată de către organul fiscal central.</w:t>
            </w:r>
          </w:p>
          <w:p w:rsidR="003625BA" w:rsidRPr="00944680" w:rsidRDefault="003625BA" w:rsidP="00635DB0">
            <w:pPr>
              <w:spacing w:after="0" w:line="240" w:lineRule="auto"/>
              <w:jc w:val="both"/>
              <w:rPr>
                <w:rFonts w:ascii="Times New Roman" w:hAnsi="Times New Roman" w:cs="Times New Roman"/>
                <w:color w:val="000000" w:themeColor="text1"/>
                <w:sz w:val="24"/>
                <w:szCs w:val="24"/>
                <w:lang w:val="fr-BE" w:eastAsia="en-US"/>
              </w:rPr>
            </w:pPr>
          </w:p>
          <w:p w:rsidR="00635DB0" w:rsidRPr="00CF27C9" w:rsidRDefault="00635DB0" w:rsidP="00635DB0">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lang w:eastAsia="en-US"/>
              </w:rPr>
              <w:t>-Hotărâre a Guvernului pentru aprobarea procedurii și a termenelor de restituire a accizelor pentru motorina utilizată în activitatea de transport rutier de mărfuri și de persoane în baza prevederilor art. 342 alin. (9) din Legea nr. 227/2015 privind Codul fiscal, cu modificările și completările ulterioare.</w:t>
            </w:r>
          </w:p>
          <w:p w:rsidR="00635DB0" w:rsidRPr="00CF27C9" w:rsidRDefault="00635DB0" w:rsidP="00635DB0">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 Elaborarea Ordinului președintelui </w:t>
            </w:r>
            <w:r w:rsidRPr="00CF27C9">
              <w:rPr>
                <w:rFonts w:ascii="Times New Roman" w:hAnsi="Times New Roman" w:cs="Times New Roman"/>
                <w:color w:val="000000" w:themeColor="text1"/>
                <w:sz w:val="24"/>
                <w:szCs w:val="24"/>
                <w:lang w:eastAsia="en-US"/>
              </w:rPr>
              <w:t>Agenției Naționale de Administrare Fiscală pentru aprobarea</w:t>
            </w:r>
            <w:r w:rsidRPr="00CF27C9">
              <w:rPr>
                <w:rFonts w:ascii="Times New Roman" w:hAnsi="Times New Roman" w:cs="Times New Roman"/>
                <w:color w:val="000000" w:themeColor="text1"/>
                <w:sz w:val="24"/>
                <w:szCs w:val="24"/>
              </w:rPr>
              <w:t xml:space="preserve"> modelului și conținutului declarației informative </w:t>
            </w:r>
            <w:r w:rsidRPr="00CF27C9">
              <w:rPr>
                <w:rFonts w:ascii="Times New Roman" w:hAnsi="Times New Roman" w:cs="Times New Roman"/>
                <w:bCs/>
                <w:color w:val="000000" w:themeColor="text1"/>
                <w:sz w:val="24"/>
                <w:szCs w:val="24"/>
              </w:rPr>
              <w:t>privind beneficiarii sponsorizărilor/mecenatului/burselor private</w:t>
            </w:r>
            <w:r w:rsidRPr="00CF27C9">
              <w:rPr>
                <w:rFonts w:ascii="Times New Roman" w:hAnsi="Times New Roman" w:cs="Times New Roman"/>
                <w:color w:val="000000" w:themeColor="text1"/>
                <w:sz w:val="24"/>
                <w:szCs w:val="24"/>
              </w:rPr>
              <w:t>.</w:t>
            </w:r>
          </w:p>
          <w:p w:rsidR="00635DB0" w:rsidRPr="00CF27C9" w:rsidRDefault="00635DB0" w:rsidP="00855DA1">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Ordin al preşedintelui Agenției Naționale de Administrare Fiscală privind procedura prevăzută la art. 68</w:t>
            </w:r>
            <w:r w:rsidRPr="00944680">
              <w:rPr>
                <w:rFonts w:ascii="Times New Roman" w:hAnsi="Times New Roman" w:cs="Times New Roman"/>
                <w:color w:val="000000" w:themeColor="text1"/>
                <w:sz w:val="24"/>
                <w:szCs w:val="24"/>
                <w:vertAlign w:val="superscript"/>
              </w:rPr>
              <w:t>1</w:t>
            </w:r>
            <w:r w:rsidRPr="00CF27C9">
              <w:rPr>
                <w:rFonts w:ascii="Times New Roman" w:hAnsi="Times New Roman" w:cs="Times New Roman"/>
                <w:color w:val="000000" w:themeColor="text1"/>
                <w:sz w:val="24"/>
                <w:szCs w:val="24"/>
              </w:rPr>
              <w:t>, 72, 79, 82 , 102 și 123 din Legea nr. 227/2015.</w:t>
            </w:r>
          </w:p>
        </w:tc>
      </w:tr>
      <w:tr w:rsidR="00CF27C9" w:rsidRPr="00CF27C9" w:rsidTr="00FF5231">
        <w:trPr>
          <w:trHeight w:val="659"/>
        </w:trPr>
        <w:tc>
          <w:tcPr>
            <w:tcW w:w="5960"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35DB0" w:rsidRPr="00CF27C9" w:rsidRDefault="00635DB0" w:rsidP="00635DB0">
            <w:pPr>
              <w:spacing w:after="0" w:line="240" w:lineRule="auto"/>
              <w:jc w:val="both"/>
              <w:rPr>
                <w:bCs/>
                <w:color w:val="000000" w:themeColor="text1"/>
              </w:rPr>
            </w:pPr>
            <w:r w:rsidRPr="00CF27C9">
              <w:rPr>
                <w:rFonts w:ascii="Times New Roman" w:hAnsi="Times New Roman" w:cs="Times New Roman"/>
                <w:b/>
                <w:iCs/>
                <w:color w:val="000000" w:themeColor="text1"/>
                <w:sz w:val="24"/>
                <w:szCs w:val="24"/>
              </w:rPr>
              <w:t>1</w:t>
            </w:r>
            <w:r w:rsidRPr="00CF27C9">
              <w:rPr>
                <w:rFonts w:ascii="Times New Roman" w:hAnsi="Times New Roman" w:cs="Times New Roman"/>
                <w:b/>
                <w:iCs/>
                <w:color w:val="000000" w:themeColor="text1"/>
                <w:sz w:val="24"/>
                <w:szCs w:val="24"/>
                <w:vertAlign w:val="superscript"/>
              </w:rPr>
              <w:t>1</w:t>
            </w:r>
            <w:r w:rsidRPr="00CF27C9">
              <w:rPr>
                <w:rFonts w:ascii="Times New Roman" w:hAnsi="Times New Roman" w:cs="Times New Roman"/>
                <w:b/>
                <w:iCs/>
                <w:color w:val="000000" w:themeColor="text1"/>
                <w:sz w:val="24"/>
                <w:szCs w:val="24"/>
              </w:rPr>
              <w:t>. Compatibilitatea proiectului de act normativ cu legislația în domeniul achizițiilor publice.</w:t>
            </w:r>
          </w:p>
        </w:tc>
        <w:tc>
          <w:tcPr>
            <w:tcW w:w="4855"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35DB0" w:rsidRPr="00CF27C9" w:rsidRDefault="00635DB0" w:rsidP="00635DB0">
            <w:pPr>
              <w:pStyle w:val="TableText"/>
              <w:widowControl/>
              <w:jc w:val="both"/>
              <w:rPr>
                <w:color w:val="000000" w:themeColor="text1"/>
                <w:lang w:val="fr-FR"/>
              </w:rPr>
            </w:pPr>
            <w:r w:rsidRPr="00CF27C9">
              <w:rPr>
                <w:bCs/>
                <w:color w:val="000000" w:themeColor="text1"/>
                <w:lang w:val="ro-RO"/>
              </w:rPr>
              <w:t>Prezentul proiect de act normativ nu se referă la acest subiect.</w:t>
            </w:r>
          </w:p>
        </w:tc>
      </w:tr>
      <w:tr w:rsidR="00CF27C9" w:rsidRPr="00CF27C9" w:rsidTr="00FF5231">
        <w:trPr>
          <w:trHeight w:val="1125"/>
        </w:trPr>
        <w:tc>
          <w:tcPr>
            <w:tcW w:w="5960"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35DB0" w:rsidRPr="00CF27C9" w:rsidRDefault="00635DB0" w:rsidP="00635DB0">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 xml:space="preserve">2) </w:t>
            </w:r>
            <w:r w:rsidRPr="00CF27C9">
              <w:rPr>
                <w:rFonts w:ascii="Times New Roman" w:hAnsi="Times New Roman" w:cs="Times New Roman"/>
                <w:b/>
                <w:color w:val="000000" w:themeColor="text1"/>
                <w:sz w:val="24"/>
                <w:szCs w:val="24"/>
              </w:rPr>
              <w:t>Conformitatea proiectului de act normativ cu legislația comunitară în cazul proiectelor ce transpun prevederi comunitare</w:t>
            </w:r>
          </w:p>
        </w:tc>
        <w:tc>
          <w:tcPr>
            <w:tcW w:w="4855"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color w:val="000000" w:themeColor="text1"/>
              </w:rPr>
            </w:pPr>
            <w:r w:rsidRPr="00CF27C9">
              <w:rPr>
                <w:rFonts w:ascii="Times New Roman" w:hAnsi="Times New Roman" w:cs="Times New Roman"/>
                <w:color w:val="000000" w:themeColor="text1"/>
                <w:sz w:val="24"/>
                <w:szCs w:val="24"/>
              </w:rPr>
              <w:t xml:space="preserve">Prevederile prezentului act normativ sunt conforme cu prevederile art. 6 și art.7 alin. (3)  din Directiva 2003/96/CE </w:t>
            </w:r>
            <w:r w:rsidRPr="00CF27C9">
              <w:rPr>
                <w:rFonts w:ascii="Times New Roman" w:eastAsia="Arial" w:hAnsi="Times New Roman" w:cs="Times New Roman"/>
                <w:color w:val="000000" w:themeColor="text1"/>
                <w:sz w:val="24"/>
                <w:szCs w:val="24"/>
              </w:rPr>
              <w:t xml:space="preserve">a Consiliului din 27 octombrie 2003 </w:t>
            </w:r>
            <w:r w:rsidRPr="00CF27C9">
              <w:rPr>
                <w:rFonts w:ascii="Times New Roman" w:hAnsi="Times New Roman" w:cs="Times New Roman"/>
                <w:color w:val="000000" w:themeColor="text1"/>
                <w:sz w:val="24"/>
                <w:szCs w:val="24"/>
              </w:rPr>
              <w:t>privind restructurarea cadrului comunitar de impozitare a produselor energetice și a electricității.</w:t>
            </w:r>
          </w:p>
        </w:tc>
      </w:tr>
      <w:tr w:rsidR="00CF27C9" w:rsidRPr="00CF27C9" w:rsidTr="00FF5231">
        <w:trPr>
          <w:trHeight w:val="835"/>
        </w:trPr>
        <w:tc>
          <w:tcPr>
            <w:tcW w:w="5960"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 xml:space="preserve">3) </w:t>
            </w:r>
            <w:r w:rsidRPr="00CF27C9">
              <w:rPr>
                <w:rFonts w:ascii="Times New Roman" w:hAnsi="Times New Roman" w:cs="Times New Roman"/>
                <w:b/>
                <w:color w:val="000000" w:themeColor="text1"/>
                <w:sz w:val="24"/>
                <w:szCs w:val="24"/>
              </w:rPr>
              <w:t>Măsuri normative necesare aplicării directe a actelor normative comunitare</w:t>
            </w:r>
          </w:p>
        </w:tc>
        <w:tc>
          <w:tcPr>
            <w:tcW w:w="4855"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color w:val="000000" w:themeColor="text1"/>
              </w:rPr>
            </w:pPr>
            <w:r w:rsidRPr="00CF27C9">
              <w:rPr>
                <w:rFonts w:ascii="Times New Roman" w:hAnsi="Times New Roman" w:cs="Times New Roman"/>
                <w:color w:val="000000" w:themeColor="text1"/>
                <w:sz w:val="24"/>
                <w:szCs w:val="24"/>
              </w:rPr>
              <w:t>Nu este cazul.</w:t>
            </w:r>
          </w:p>
        </w:tc>
      </w:tr>
      <w:tr w:rsidR="00CF27C9" w:rsidRPr="00CF27C9" w:rsidTr="00FF5231">
        <w:trPr>
          <w:trHeight w:val="951"/>
        </w:trPr>
        <w:tc>
          <w:tcPr>
            <w:tcW w:w="5960"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 xml:space="preserve">4) </w:t>
            </w:r>
            <w:r w:rsidRPr="00CF27C9">
              <w:rPr>
                <w:rFonts w:ascii="Times New Roman" w:hAnsi="Times New Roman" w:cs="Times New Roman"/>
                <w:b/>
                <w:color w:val="000000" w:themeColor="text1"/>
                <w:sz w:val="24"/>
                <w:szCs w:val="24"/>
              </w:rPr>
              <w:t>Hotărâri ale Curții de Justiție a Uniunii Europene</w:t>
            </w:r>
          </w:p>
        </w:tc>
        <w:tc>
          <w:tcPr>
            <w:tcW w:w="4855"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color w:val="000000" w:themeColor="text1"/>
              </w:rPr>
            </w:pPr>
            <w:r w:rsidRPr="00CF27C9">
              <w:rPr>
                <w:rFonts w:ascii="Times New Roman" w:hAnsi="Times New Roman" w:cs="Times New Roman"/>
                <w:color w:val="000000" w:themeColor="text1"/>
                <w:sz w:val="24"/>
                <w:szCs w:val="24"/>
              </w:rPr>
              <w:t>Modificările legislative nu contravin jurisprudenței Curții de Justiție a Uniunii Europene.</w:t>
            </w:r>
          </w:p>
        </w:tc>
      </w:tr>
      <w:tr w:rsidR="00CF27C9" w:rsidRPr="00CF27C9" w:rsidTr="00FF5231">
        <w:trPr>
          <w:trHeight w:val="627"/>
        </w:trPr>
        <w:tc>
          <w:tcPr>
            <w:tcW w:w="5960"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rPr>
                <w:rFonts w:ascii="Times New Roman" w:hAnsi="Times New Roman" w:cs="Times New Roman"/>
                <w:bCs/>
                <w:color w:val="000000" w:themeColor="text1"/>
                <w:sz w:val="24"/>
                <w:szCs w:val="24"/>
              </w:rPr>
            </w:pPr>
            <w:r w:rsidRPr="00CF27C9">
              <w:rPr>
                <w:rFonts w:ascii="Times New Roman" w:hAnsi="Times New Roman" w:cs="Times New Roman"/>
                <w:b/>
                <w:bCs/>
                <w:color w:val="000000" w:themeColor="text1"/>
                <w:sz w:val="24"/>
                <w:szCs w:val="24"/>
              </w:rPr>
              <w:t xml:space="preserve">5) </w:t>
            </w:r>
            <w:r w:rsidRPr="00CF27C9">
              <w:rPr>
                <w:rFonts w:ascii="Times New Roman" w:hAnsi="Times New Roman" w:cs="Times New Roman"/>
                <w:b/>
                <w:color w:val="000000" w:themeColor="text1"/>
                <w:sz w:val="24"/>
                <w:szCs w:val="24"/>
              </w:rPr>
              <w:t>Alte acte normative și/sau documente internaționale din care decurg angajamente</w:t>
            </w:r>
          </w:p>
        </w:tc>
        <w:tc>
          <w:tcPr>
            <w:tcW w:w="4855"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color w:val="000000" w:themeColor="text1"/>
              </w:rPr>
            </w:pPr>
            <w:r w:rsidRPr="00CF27C9">
              <w:rPr>
                <w:rFonts w:ascii="Times New Roman" w:hAnsi="Times New Roman" w:cs="Times New Roman"/>
                <w:bCs/>
                <w:color w:val="000000" w:themeColor="text1"/>
                <w:sz w:val="24"/>
                <w:szCs w:val="24"/>
              </w:rPr>
              <w:t>Nu este cazul.</w:t>
            </w:r>
          </w:p>
        </w:tc>
      </w:tr>
      <w:tr w:rsidR="00CF27C9" w:rsidRPr="00CF27C9" w:rsidTr="00FF5231">
        <w:trPr>
          <w:trHeight w:val="514"/>
        </w:trPr>
        <w:tc>
          <w:tcPr>
            <w:tcW w:w="5960"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 xml:space="preserve">6) </w:t>
            </w:r>
            <w:r w:rsidRPr="00CF27C9">
              <w:rPr>
                <w:rFonts w:ascii="Times New Roman" w:hAnsi="Times New Roman" w:cs="Times New Roman"/>
                <w:b/>
                <w:color w:val="000000" w:themeColor="text1"/>
                <w:sz w:val="24"/>
                <w:szCs w:val="24"/>
              </w:rPr>
              <w:t>Alte informații</w:t>
            </w:r>
          </w:p>
        </w:tc>
        <w:tc>
          <w:tcPr>
            <w:tcW w:w="4855"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rPr>
            </w:pPr>
          </w:p>
        </w:tc>
      </w:tr>
      <w:tr w:rsidR="00CF27C9" w:rsidRPr="00CF27C9" w:rsidTr="00C140E8">
        <w:trPr>
          <w:trHeight w:val="640"/>
        </w:trPr>
        <w:tc>
          <w:tcPr>
            <w:tcW w:w="10815" w:type="dxa"/>
            <w:gridSpan w:val="11"/>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b/>
                <w:bCs/>
                <w:color w:val="000000" w:themeColor="text1"/>
                <w:sz w:val="24"/>
                <w:szCs w:val="24"/>
              </w:rPr>
            </w:pPr>
          </w:p>
          <w:p w:rsidR="00635DB0" w:rsidRPr="00CF27C9" w:rsidRDefault="00635DB0" w:rsidP="00635DB0">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Secțiunea a 6-a</w:t>
            </w:r>
          </w:p>
          <w:p w:rsidR="00635DB0" w:rsidRPr="00CF27C9" w:rsidRDefault="00635DB0" w:rsidP="00635DB0">
            <w:pPr>
              <w:spacing w:after="0" w:line="240" w:lineRule="auto"/>
              <w:jc w:val="center"/>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Consultările efectuate în vederea elaborării proiectului de act normativ</w:t>
            </w:r>
          </w:p>
          <w:p w:rsidR="00635DB0" w:rsidRPr="00CF27C9" w:rsidRDefault="00635DB0" w:rsidP="00635DB0">
            <w:pPr>
              <w:spacing w:after="0" w:line="240" w:lineRule="auto"/>
              <w:jc w:val="center"/>
              <w:rPr>
                <w:rFonts w:ascii="Times New Roman" w:hAnsi="Times New Roman" w:cs="Times New Roman"/>
                <w:color w:val="000000" w:themeColor="text1"/>
                <w:sz w:val="24"/>
                <w:szCs w:val="24"/>
              </w:rPr>
            </w:pPr>
          </w:p>
        </w:tc>
      </w:tr>
      <w:tr w:rsidR="00CF27C9" w:rsidRPr="00CF27C9" w:rsidTr="00FF5231">
        <w:trPr>
          <w:trHeight w:val="58"/>
        </w:trPr>
        <w:tc>
          <w:tcPr>
            <w:tcW w:w="6037"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35DB0" w:rsidRPr="00CF27C9" w:rsidRDefault="00635DB0" w:rsidP="00635DB0">
            <w:pPr>
              <w:spacing w:before="113" w:after="0" w:line="240" w:lineRule="auto"/>
              <w:textAlignment w:val="center"/>
              <w:rPr>
                <w:color w:val="000000" w:themeColor="text1"/>
                <w:sz w:val="6"/>
                <w:szCs w:val="6"/>
              </w:rPr>
            </w:pPr>
            <w:r w:rsidRPr="00CF27C9">
              <w:rPr>
                <w:rFonts w:ascii="Times New Roman" w:hAnsi="Times New Roman" w:cs="Times New Roman"/>
                <w:b/>
                <w:bCs/>
                <w:color w:val="000000" w:themeColor="text1"/>
                <w:sz w:val="24"/>
                <w:szCs w:val="24"/>
              </w:rPr>
              <w:t>1) Informații privind procesul de consultare cu organizații neguvernamentale, institute de cercetare și alte organisme implicate</w:t>
            </w:r>
          </w:p>
        </w:tc>
        <w:tc>
          <w:tcPr>
            <w:tcW w:w="4778"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pStyle w:val="DefaultText"/>
              <w:ind w:left="95"/>
              <w:jc w:val="both"/>
              <w:rPr>
                <w:color w:val="000000" w:themeColor="text1"/>
                <w:sz w:val="6"/>
                <w:szCs w:val="6"/>
                <w:lang w:val="ro-RO"/>
              </w:rPr>
            </w:pPr>
          </w:p>
          <w:p w:rsidR="00635DB0" w:rsidRPr="00CF27C9" w:rsidRDefault="00635DB0" w:rsidP="00635DB0">
            <w:pPr>
              <w:pStyle w:val="DefaultText"/>
              <w:jc w:val="both"/>
              <w:rPr>
                <w:color w:val="000000" w:themeColor="text1"/>
                <w:lang w:val="ro-RO"/>
              </w:rPr>
            </w:pPr>
            <w:r w:rsidRPr="00CF27C9">
              <w:rPr>
                <w:color w:val="000000" w:themeColor="text1"/>
                <w:lang w:val="ro-RO"/>
              </w:rPr>
              <w:t>În procesul de elaborare a prezentului act normativ au fost îndeplinite procedurile prevăzute de Legea nr. 52/2003 privind transparența decizională, cu modificările și completările ulterioare.</w:t>
            </w:r>
          </w:p>
        </w:tc>
      </w:tr>
      <w:tr w:rsidR="00CF27C9" w:rsidRPr="00CF27C9" w:rsidTr="00FF5231">
        <w:trPr>
          <w:trHeight w:val="1267"/>
        </w:trPr>
        <w:tc>
          <w:tcPr>
            <w:tcW w:w="6037"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color w:val="000000" w:themeColor="text1"/>
              </w:rPr>
            </w:pPr>
            <w:r w:rsidRPr="00CF27C9">
              <w:rPr>
                <w:rFonts w:ascii="Times New Roman" w:hAnsi="Times New Roman" w:cs="Times New Roman"/>
                <w:b/>
                <w:bCs/>
                <w:color w:val="000000" w:themeColor="text1"/>
                <w:sz w:val="24"/>
                <w:szCs w:val="24"/>
              </w:rPr>
              <w:t>2) Fundamentarea alegerii organizațiilor cu care a avut loc consultarea, precum și a modului în care activitatea acestor organizații este legată de obiectul proiectului de act normativ.</w:t>
            </w:r>
          </w:p>
        </w:tc>
        <w:tc>
          <w:tcPr>
            <w:tcW w:w="4778"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pStyle w:val="DefaultText"/>
              <w:jc w:val="both"/>
              <w:rPr>
                <w:color w:val="000000" w:themeColor="text1"/>
              </w:rPr>
            </w:pPr>
            <w:r w:rsidRPr="00CF27C9">
              <w:rPr>
                <w:color w:val="000000" w:themeColor="text1"/>
                <w:lang w:val="ro-RO"/>
              </w:rPr>
              <w:t>Nu este cazul.</w:t>
            </w:r>
          </w:p>
        </w:tc>
      </w:tr>
      <w:tr w:rsidR="00CF27C9" w:rsidRPr="00CF27C9" w:rsidTr="00FF5231">
        <w:trPr>
          <w:trHeight w:val="2107"/>
        </w:trPr>
        <w:tc>
          <w:tcPr>
            <w:tcW w:w="6037"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color w:val="000000" w:themeColor="text1"/>
              </w:rPr>
            </w:pPr>
            <w:r w:rsidRPr="00CF27C9">
              <w:rPr>
                <w:rFonts w:ascii="Times New Roman" w:hAnsi="Times New Roman" w:cs="Times New Roman"/>
                <w:b/>
                <w:bCs/>
                <w:color w:val="000000" w:themeColor="text1"/>
                <w:sz w:val="24"/>
                <w:szCs w:val="24"/>
              </w:rPr>
              <w:t>3) Consultările organizate cu autoritățile administrației publice locale, în situația în care proiectul de act normativ are ca obiect activități ale acestor autorități, în condițiile Hotărârii Guvernului nr. 521/2005 privind procedura de consultare a structurilor asociative ale autorităților administrației publice locale la elaborarea proiectelor de acte normative</w:t>
            </w:r>
          </w:p>
        </w:tc>
        <w:tc>
          <w:tcPr>
            <w:tcW w:w="4778"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uppressAutoHyphens w:val="0"/>
              <w:autoSpaceDE w:val="0"/>
              <w:autoSpaceDN w:val="0"/>
              <w:adjustRightInd w:val="0"/>
              <w:spacing w:line="240" w:lineRule="auto"/>
              <w:contextualSpacing/>
              <w:jc w:val="both"/>
              <w:rPr>
                <w:rFonts w:ascii="Times New Roman" w:hAnsi="Times New Roman" w:cs="Times New Roman"/>
                <w:color w:val="000000" w:themeColor="text1"/>
                <w:sz w:val="24"/>
                <w:szCs w:val="24"/>
                <w:lang w:eastAsia="en-US"/>
              </w:rPr>
            </w:pPr>
            <w:r w:rsidRPr="00CF27C9">
              <w:rPr>
                <w:rFonts w:ascii="Times New Roman" w:hAnsi="Times New Roman" w:cs="Times New Roman"/>
                <w:color w:val="000000" w:themeColor="text1"/>
                <w:sz w:val="24"/>
                <w:szCs w:val="24"/>
                <w:lang w:eastAsia="en-US"/>
              </w:rPr>
              <w:t>Proiectul de act normativ se transmite spre consultare Asociației municipiilor din România, conform dispoziţiilor H.G. nr. 521/2005 privind procedura de consultare a structurilor asociative ale autorităţilor administraţiei publice locale la elaborarea proiectelor de acte normative.</w:t>
            </w:r>
          </w:p>
          <w:p w:rsidR="00635DB0" w:rsidRPr="00944680" w:rsidRDefault="00635DB0" w:rsidP="00635DB0">
            <w:pPr>
              <w:pStyle w:val="DefaultText"/>
              <w:jc w:val="both"/>
              <w:rPr>
                <w:color w:val="000000" w:themeColor="text1"/>
                <w:lang w:val="ro-RO"/>
              </w:rPr>
            </w:pPr>
          </w:p>
        </w:tc>
      </w:tr>
      <w:tr w:rsidR="00CF27C9" w:rsidRPr="00CF27C9" w:rsidTr="00FF5231">
        <w:trPr>
          <w:trHeight w:val="1272"/>
        </w:trPr>
        <w:tc>
          <w:tcPr>
            <w:tcW w:w="6037"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bCs/>
                <w:color w:val="000000" w:themeColor="text1"/>
                <w:sz w:val="24"/>
                <w:szCs w:val="24"/>
              </w:rPr>
            </w:pPr>
            <w:r w:rsidRPr="00CF27C9">
              <w:rPr>
                <w:rFonts w:ascii="Times New Roman" w:hAnsi="Times New Roman" w:cs="Times New Roman"/>
                <w:b/>
                <w:bCs/>
                <w:color w:val="000000" w:themeColor="text1"/>
                <w:sz w:val="24"/>
                <w:szCs w:val="24"/>
              </w:rPr>
              <w:t>4) Consultările desfășurate în cadrul consiliilor interministeriale, în conformitate cu prevederile Hotărârii Guvernului nr. 750/2005 privind constituirea consiliilor interministeriale permanente</w:t>
            </w:r>
          </w:p>
        </w:tc>
        <w:tc>
          <w:tcPr>
            <w:tcW w:w="4778"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rPr>
                <w:color w:val="000000" w:themeColor="text1"/>
              </w:rPr>
            </w:pPr>
            <w:r w:rsidRPr="00CF27C9">
              <w:rPr>
                <w:rFonts w:ascii="Times New Roman" w:hAnsi="Times New Roman" w:cs="Times New Roman"/>
                <w:bCs/>
                <w:color w:val="000000" w:themeColor="text1"/>
                <w:sz w:val="24"/>
                <w:szCs w:val="24"/>
              </w:rPr>
              <w:t>Nu este cazul.</w:t>
            </w:r>
          </w:p>
        </w:tc>
      </w:tr>
      <w:tr w:rsidR="00CF27C9" w:rsidRPr="00CF27C9" w:rsidTr="00FF5231">
        <w:trPr>
          <w:trHeight w:val="555"/>
        </w:trPr>
        <w:tc>
          <w:tcPr>
            <w:tcW w:w="6037"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5) Informații privind avizarea de către:</w:t>
            </w:r>
          </w:p>
        </w:tc>
        <w:tc>
          <w:tcPr>
            <w:tcW w:w="4778"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rPr>
                <w:rFonts w:ascii="Times New Roman" w:hAnsi="Times New Roman" w:cs="Times New Roman"/>
                <w:color w:val="000000" w:themeColor="text1"/>
                <w:sz w:val="24"/>
                <w:szCs w:val="24"/>
              </w:rPr>
            </w:pPr>
          </w:p>
        </w:tc>
      </w:tr>
      <w:tr w:rsidR="00CF27C9" w:rsidRPr="00CF27C9" w:rsidTr="00FF5231">
        <w:trPr>
          <w:trHeight w:val="739"/>
        </w:trPr>
        <w:tc>
          <w:tcPr>
            <w:tcW w:w="6037"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lang w:eastAsia="en-US"/>
              </w:rPr>
            </w:pPr>
            <w:r w:rsidRPr="00CF27C9">
              <w:rPr>
                <w:rFonts w:ascii="Times New Roman" w:hAnsi="Times New Roman" w:cs="Times New Roman"/>
                <w:b/>
                <w:bCs/>
                <w:color w:val="000000" w:themeColor="text1"/>
                <w:sz w:val="24"/>
                <w:szCs w:val="24"/>
              </w:rPr>
              <w:t>a) Consiliul Legislativ</w:t>
            </w:r>
          </w:p>
        </w:tc>
        <w:tc>
          <w:tcPr>
            <w:tcW w:w="4778"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rPr>
                <w:color w:val="000000" w:themeColor="text1"/>
              </w:rPr>
            </w:pPr>
            <w:r w:rsidRPr="00CF27C9">
              <w:rPr>
                <w:rFonts w:ascii="Times New Roman" w:hAnsi="Times New Roman" w:cs="Times New Roman"/>
                <w:color w:val="000000" w:themeColor="text1"/>
                <w:sz w:val="24"/>
                <w:szCs w:val="24"/>
                <w:lang w:eastAsia="en-US"/>
              </w:rPr>
              <w:t xml:space="preserve">Prezentul act normativ se avizează de Consiliul Legislativ. </w:t>
            </w:r>
          </w:p>
        </w:tc>
      </w:tr>
      <w:tr w:rsidR="00CF27C9" w:rsidRPr="00CF27C9" w:rsidTr="00FF5231">
        <w:trPr>
          <w:trHeight w:val="688"/>
        </w:trPr>
        <w:tc>
          <w:tcPr>
            <w:tcW w:w="6037"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b) Consiliul Suprem de Apărare a Țării</w:t>
            </w:r>
          </w:p>
        </w:tc>
        <w:tc>
          <w:tcPr>
            <w:tcW w:w="4778"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rPr>
                <w:color w:val="000000" w:themeColor="text1"/>
              </w:rPr>
            </w:pPr>
            <w:r w:rsidRPr="00CF27C9">
              <w:rPr>
                <w:rFonts w:ascii="Times New Roman" w:hAnsi="Times New Roman" w:cs="Times New Roman"/>
                <w:color w:val="000000" w:themeColor="text1"/>
                <w:sz w:val="24"/>
                <w:szCs w:val="24"/>
              </w:rPr>
              <w:t>Nu este cazul.</w:t>
            </w:r>
          </w:p>
        </w:tc>
      </w:tr>
      <w:tr w:rsidR="00CF27C9" w:rsidRPr="00CF27C9" w:rsidTr="00FF5231">
        <w:trPr>
          <w:trHeight w:val="672"/>
        </w:trPr>
        <w:tc>
          <w:tcPr>
            <w:tcW w:w="6037"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lang w:eastAsia="en-US"/>
              </w:rPr>
            </w:pPr>
            <w:r w:rsidRPr="00CF27C9">
              <w:rPr>
                <w:rFonts w:ascii="Times New Roman" w:hAnsi="Times New Roman" w:cs="Times New Roman"/>
                <w:b/>
                <w:bCs/>
                <w:color w:val="000000" w:themeColor="text1"/>
                <w:sz w:val="24"/>
                <w:szCs w:val="24"/>
              </w:rPr>
              <w:t>c) Consiliul Economic și Social</w:t>
            </w:r>
          </w:p>
        </w:tc>
        <w:tc>
          <w:tcPr>
            <w:tcW w:w="4778"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rPr>
                <w:color w:val="000000" w:themeColor="text1"/>
              </w:rPr>
            </w:pPr>
            <w:r w:rsidRPr="00CF27C9">
              <w:rPr>
                <w:rFonts w:ascii="Times New Roman" w:hAnsi="Times New Roman" w:cs="Times New Roman"/>
                <w:color w:val="000000" w:themeColor="text1"/>
                <w:sz w:val="24"/>
                <w:szCs w:val="24"/>
                <w:lang w:eastAsia="en-US"/>
              </w:rPr>
              <w:t>Prezentul act normativ se avizează de Consiliul Economic și Social.</w:t>
            </w:r>
          </w:p>
        </w:tc>
      </w:tr>
      <w:tr w:rsidR="00CF27C9" w:rsidRPr="00CF27C9" w:rsidTr="00FF5231">
        <w:trPr>
          <w:trHeight w:val="911"/>
        </w:trPr>
        <w:tc>
          <w:tcPr>
            <w:tcW w:w="6037"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shd w:val="clear" w:color="auto" w:fill="FFFFFF"/>
                <w:lang w:eastAsia="en-US"/>
              </w:rPr>
            </w:pPr>
            <w:r w:rsidRPr="00CF27C9">
              <w:rPr>
                <w:rFonts w:ascii="Times New Roman" w:hAnsi="Times New Roman" w:cs="Times New Roman"/>
                <w:b/>
                <w:bCs/>
                <w:color w:val="000000" w:themeColor="text1"/>
                <w:sz w:val="24"/>
                <w:szCs w:val="24"/>
              </w:rPr>
              <w:t>d) Consiliul Concurenței</w:t>
            </w:r>
          </w:p>
        </w:tc>
        <w:tc>
          <w:tcPr>
            <w:tcW w:w="4778" w:type="dxa"/>
            <w:gridSpan w:val="5"/>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rsidR="00635DB0" w:rsidRPr="00CF27C9" w:rsidRDefault="00635DB0" w:rsidP="00635DB0">
            <w:pPr>
              <w:spacing w:after="0" w:line="240" w:lineRule="auto"/>
              <w:rPr>
                <w:color w:val="000000" w:themeColor="text1"/>
              </w:rPr>
            </w:pPr>
            <w:r w:rsidRPr="00CF27C9">
              <w:rPr>
                <w:rFonts w:ascii="Times New Roman" w:hAnsi="Times New Roman" w:cs="Times New Roman"/>
                <w:color w:val="000000" w:themeColor="text1"/>
                <w:sz w:val="24"/>
                <w:szCs w:val="24"/>
              </w:rPr>
              <w:t>Nu este cazul.</w:t>
            </w:r>
          </w:p>
        </w:tc>
      </w:tr>
      <w:tr w:rsidR="00CF27C9" w:rsidRPr="00CF27C9" w:rsidTr="00FF5231">
        <w:trPr>
          <w:trHeight w:val="636"/>
        </w:trPr>
        <w:tc>
          <w:tcPr>
            <w:tcW w:w="6037"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e) Curtea de Conturi</w:t>
            </w:r>
          </w:p>
        </w:tc>
        <w:tc>
          <w:tcPr>
            <w:tcW w:w="4778"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rPr>
                <w:color w:val="000000" w:themeColor="text1"/>
              </w:rPr>
            </w:pPr>
            <w:r w:rsidRPr="00CF27C9">
              <w:rPr>
                <w:rFonts w:ascii="Times New Roman" w:hAnsi="Times New Roman" w:cs="Times New Roman"/>
                <w:color w:val="000000" w:themeColor="text1"/>
                <w:sz w:val="24"/>
                <w:szCs w:val="24"/>
              </w:rPr>
              <w:t>Nu este cazul.</w:t>
            </w:r>
          </w:p>
        </w:tc>
      </w:tr>
      <w:tr w:rsidR="00CF27C9" w:rsidRPr="00CF27C9" w:rsidTr="00FF5231">
        <w:trPr>
          <w:trHeight w:val="545"/>
        </w:trPr>
        <w:tc>
          <w:tcPr>
            <w:tcW w:w="6037"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6) Alte informații</w:t>
            </w:r>
          </w:p>
        </w:tc>
        <w:tc>
          <w:tcPr>
            <w:tcW w:w="4778"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color w:val="000000" w:themeColor="text1"/>
              </w:rPr>
            </w:pPr>
            <w:r w:rsidRPr="00CF27C9">
              <w:rPr>
                <w:rFonts w:ascii="Times New Roman" w:hAnsi="Times New Roman" w:cs="Times New Roman"/>
                <w:color w:val="000000" w:themeColor="text1"/>
                <w:sz w:val="24"/>
                <w:szCs w:val="24"/>
              </w:rPr>
              <w:t>Nu este cazul.</w:t>
            </w:r>
          </w:p>
        </w:tc>
      </w:tr>
      <w:tr w:rsidR="00CF27C9" w:rsidRPr="00CF27C9" w:rsidTr="00407149">
        <w:trPr>
          <w:trHeight w:val="963"/>
        </w:trPr>
        <w:tc>
          <w:tcPr>
            <w:tcW w:w="10815" w:type="dxa"/>
            <w:gridSpan w:val="11"/>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center"/>
              <w:rPr>
                <w:rFonts w:ascii="Times New Roman" w:hAnsi="Times New Roman" w:cs="Times New Roman"/>
                <w:b/>
                <w:bCs/>
                <w:color w:val="000000" w:themeColor="text1"/>
                <w:sz w:val="24"/>
                <w:szCs w:val="24"/>
              </w:rPr>
            </w:pPr>
            <w:r w:rsidRPr="00CF27C9">
              <w:rPr>
                <w:rFonts w:ascii="Times New Roman" w:hAnsi="Times New Roman" w:cs="Times New Roman"/>
                <w:b/>
                <w:bCs/>
                <w:color w:val="000000" w:themeColor="text1"/>
                <w:sz w:val="24"/>
                <w:szCs w:val="24"/>
              </w:rPr>
              <w:t>Secțiunea a 7-a</w:t>
            </w:r>
          </w:p>
          <w:p w:rsidR="00635DB0" w:rsidRPr="00CF27C9" w:rsidRDefault="00635DB0" w:rsidP="00635DB0">
            <w:pPr>
              <w:spacing w:after="0" w:line="240" w:lineRule="auto"/>
              <w:jc w:val="center"/>
              <w:rPr>
                <w:color w:val="000000" w:themeColor="text1"/>
              </w:rPr>
            </w:pPr>
            <w:r w:rsidRPr="00CF27C9">
              <w:rPr>
                <w:rFonts w:ascii="Times New Roman" w:hAnsi="Times New Roman" w:cs="Times New Roman"/>
                <w:b/>
                <w:bCs/>
                <w:color w:val="000000" w:themeColor="text1"/>
                <w:sz w:val="24"/>
                <w:szCs w:val="24"/>
              </w:rPr>
              <w:t>Activități de informare publică privind elaborarea și implementarea proiectului de act normativ</w:t>
            </w:r>
          </w:p>
        </w:tc>
      </w:tr>
      <w:tr w:rsidR="00CF27C9" w:rsidRPr="00CF27C9" w:rsidTr="00FF5231">
        <w:trPr>
          <w:trHeight w:val="2243"/>
        </w:trPr>
        <w:tc>
          <w:tcPr>
            <w:tcW w:w="6037"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bCs/>
                <w:color w:val="000000" w:themeColor="text1"/>
                <w:sz w:val="24"/>
                <w:szCs w:val="24"/>
              </w:rPr>
            </w:pPr>
            <w:r w:rsidRPr="00CF27C9">
              <w:rPr>
                <w:rFonts w:ascii="Times New Roman" w:hAnsi="Times New Roman" w:cs="Times New Roman"/>
                <w:b/>
                <w:bCs/>
                <w:color w:val="000000" w:themeColor="text1"/>
                <w:sz w:val="24"/>
                <w:szCs w:val="24"/>
              </w:rPr>
              <w:t>1) Informarea societății civile cu privire la necesitatea elaborării proiectului de act normativ</w:t>
            </w:r>
          </w:p>
        </w:tc>
        <w:tc>
          <w:tcPr>
            <w:tcW w:w="4778"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635DB0" w:rsidRPr="00CF27C9" w:rsidRDefault="00635DB0" w:rsidP="00635DB0">
            <w:pPr>
              <w:spacing w:after="0" w:line="240" w:lineRule="auto"/>
              <w:jc w:val="both"/>
              <w:rPr>
                <w:rFonts w:ascii="Times New Roman" w:hAnsi="Times New Roman" w:cs="Times New Roman"/>
                <w:bCs/>
                <w:color w:val="000000" w:themeColor="text1"/>
                <w:sz w:val="24"/>
                <w:szCs w:val="24"/>
              </w:rPr>
            </w:pPr>
            <w:r w:rsidRPr="00CF27C9">
              <w:rPr>
                <w:rFonts w:ascii="Times New Roman" w:hAnsi="Times New Roman" w:cs="Times New Roman"/>
                <w:bCs/>
                <w:color w:val="000000" w:themeColor="text1"/>
                <w:sz w:val="24"/>
                <w:szCs w:val="24"/>
              </w:rPr>
              <w:t>În conformitate cu prevederile Legii nr. 52/2003 privind transparența decizională în administrația publică, propunerea legislativă a fost afișată pe pagina de internet a Ministerului Finanțelor Publice pentru dezbatere publică și a fost dezbătută în cadrul Comisiei de dialog social, constituită la nivelul Ministerului Finanțelor Publice.</w:t>
            </w:r>
          </w:p>
        </w:tc>
      </w:tr>
      <w:tr w:rsidR="00CF27C9" w:rsidRPr="00CF27C9" w:rsidTr="00FF5231">
        <w:trPr>
          <w:trHeight w:val="1267"/>
        </w:trPr>
        <w:tc>
          <w:tcPr>
            <w:tcW w:w="6037"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2) Informarea societății civile cu privire la eventualul impact asupra mediului în urma implementarii proiectului de act normativ, precum și efectele asupra sănătății și securității cetățenilor sau diversității biologice</w:t>
            </w:r>
          </w:p>
        </w:tc>
        <w:tc>
          <w:tcPr>
            <w:tcW w:w="4778"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jc w:val="both"/>
              <w:rPr>
                <w:color w:val="000000" w:themeColor="text1"/>
              </w:rPr>
            </w:pPr>
            <w:r w:rsidRPr="00CF27C9">
              <w:rPr>
                <w:rFonts w:ascii="Times New Roman" w:hAnsi="Times New Roman" w:cs="Times New Roman"/>
                <w:color w:val="000000" w:themeColor="text1"/>
                <w:sz w:val="24"/>
                <w:szCs w:val="24"/>
              </w:rPr>
              <w:t>Nu este cazul.</w:t>
            </w:r>
          </w:p>
        </w:tc>
      </w:tr>
      <w:tr w:rsidR="00CF27C9" w:rsidRPr="00CF27C9" w:rsidTr="00FF5231">
        <w:trPr>
          <w:trHeight w:val="547"/>
        </w:trPr>
        <w:tc>
          <w:tcPr>
            <w:tcW w:w="6037" w:type="dxa"/>
            <w:gridSpan w:val="6"/>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3) Alte informații</w:t>
            </w:r>
          </w:p>
        </w:tc>
        <w:tc>
          <w:tcPr>
            <w:tcW w:w="4778" w:type="dxa"/>
            <w:gridSpan w:val="5"/>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635DB0" w:rsidRPr="00CF27C9" w:rsidRDefault="00635DB0" w:rsidP="00635DB0">
            <w:pPr>
              <w:spacing w:after="0" w:line="240" w:lineRule="auto"/>
              <w:rPr>
                <w:color w:val="000000" w:themeColor="text1"/>
              </w:rPr>
            </w:pPr>
            <w:r w:rsidRPr="00CF27C9">
              <w:rPr>
                <w:rFonts w:ascii="Times New Roman" w:hAnsi="Times New Roman" w:cs="Times New Roman"/>
                <w:color w:val="000000" w:themeColor="text1"/>
                <w:sz w:val="24"/>
                <w:szCs w:val="24"/>
              </w:rPr>
              <w:t>Nu este cazul.</w:t>
            </w:r>
          </w:p>
        </w:tc>
      </w:tr>
      <w:tr w:rsidR="00CF27C9" w:rsidRPr="00CF27C9" w:rsidTr="00EE3A3F">
        <w:tblPrEx>
          <w:tblBorders>
            <w:bottom w:val="single" w:sz="4" w:space="0" w:color="000001"/>
            <w:insideH w:val="single" w:sz="4" w:space="0" w:color="000001"/>
          </w:tblBorders>
        </w:tblPrEx>
        <w:trPr>
          <w:trHeight w:val="1075"/>
        </w:trPr>
        <w:tc>
          <w:tcPr>
            <w:tcW w:w="10815" w:type="dxa"/>
            <w:gridSpan w:val="11"/>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center"/>
              <w:rPr>
                <w:rFonts w:ascii="Times New Roman" w:hAnsi="Times New Roman" w:cs="Times New Roman"/>
                <w:b/>
                <w:bCs/>
                <w:color w:val="000000" w:themeColor="text1"/>
                <w:sz w:val="24"/>
                <w:szCs w:val="24"/>
              </w:rPr>
            </w:pPr>
            <w:r w:rsidRPr="00CF27C9">
              <w:rPr>
                <w:color w:val="000000" w:themeColor="text1"/>
              </w:rPr>
              <w:br w:type="page"/>
            </w:r>
            <w:r w:rsidRPr="00CF27C9">
              <w:rPr>
                <w:rFonts w:ascii="Times New Roman" w:hAnsi="Times New Roman" w:cs="Times New Roman"/>
                <w:b/>
                <w:bCs/>
                <w:color w:val="000000" w:themeColor="text1"/>
                <w:sz w:val="24"/>
                <w:szCs w:val="24"/>
              </w:rPr>
              <w:t>Secțiunea a 8-a</w:t>
            </w:r>
          </w:p>
          <w:p w:rsidR="00401ADC" w:rsidRPr="00CF27C9" w:rsidRDefault="00A63A27">
            <w:pPr>
              <w:spacing w:after="0" w:line="240" w:lineRule="auto"/>
              <w:jc w:val="center"/>
              <w:rPr>
                <w:color w:val="000000" w:themeColor="text1"/>
              </w:rPr>
            </w:pPr>
            <w:r w:rsidRPr="00CF27C9">
              <w:rPr>
                <w:rFonts w:ascii="Times New Roman" w:hAnsi="Times New Roman" w:cs="Times New Roman"/>
                <w:b/>
                <w:bCs/>
                <w:color w:val="000000" w:themeColor="text1"/>
                <w:sz w:val="24"/>
                <w:szCs w:val="24"/>
              </w:rPr>
              <w:t>Măsuri de implementare</w:t>
            </w:r>
          </w:p>
        </w:tc>
      </w:tr>
      <w:tr w:rsidR="00CF27C9" w:rsidRPr="00CF27C9" w:rsidTr="00EE3A3F">
        <w:tblPrEx>
          <w:tblBorders>
            <w:bottom w:val="single" w:sz="4" w:space="0" w:color="000001"/>
            <w:insideH w:val="single" w:sz="4" w:space="0" w:color="000001"/>
          </w:tblBorders>
        </w:tblPrEx>
        <w:trPr>
          <w:trHeight w:val="291"/>
        </w:trPr>
        <w:tc>
          <w:tcPr>
            <w:tcW w:w="6083" w:type="dxa"/>
            <w:gridSpan w:val="7"/>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1) Măsurile de punere în aplicare a proiectului de act normativ de către autoritățile administrației publice centrale și/sau locale – înființarea unor noi organisme sau extinderea competențelor instituțiilor existente</w:t>
            </w:r>
          </w:p>
        </w:tc>
        <w:tc>
          <w:tcPr>
            <w:tcW w:w="4732"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both"/>
              <w:rPr>
                <w:color w:val="000000" w:themeColor="text1"/>
              </w:rPr>
            </w:pPr>
            <w:r w:rsidRPr="00CF27C9">
              <w:rPr>
                <w:rFonts w:ascii="Times New Roman" w:hAnsi="Times New Roman" w:cs="Times New Roman"/>
                <w:color w:val="000000" w:themeColor="text1"/>
                <w:sz w:val="24"/>
                <w:szCs w:val="24"/>
              </w:rPr>
              <w:t>Nu este cazul</w:t>
            </w:r>
          </w:p>
        </w:tc>
      </w:tr>
      <w:tr w:rsidR="00CF27C9" w:rsidRPr="00CF27C9" w:rsidTr="00EE3A3F">
        <w:tblPrEx>
          <w:tblBorders>
            <w:bottom w:val="single" w:sz="4" w:space="0" w:color="000001"/>
            <w:insideH w:val="single" w:sz="4" w:space="0" w:color="000001"/>
          </w:tblBorders>
        </w:tblPrEx>
        <w:trPr>
          <w:trHeight w:val="412"/>
        </w:trPr>
        <w:tc>
          <w:tcPr>
            <w:tcW w:w="6083" w:type="dxa"/>
            <w:gridSpan w:val="7"/>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b/>
                <w:bCs/>
                <w:color w:val="000000" w:themeColor="text1"/>
                <w:sz w:val="24"/>
                <w:szCs w:val="24"/>
              </w:rPr>
              <w:t>2) Alte informații</w:t>
            </w:r>
          </w:p>
        </w:tc>
        <w:tc>
          <w:tcPr>
            <w:tcW w:w="4732"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401ADC" w:rsidRPr="00CF27C9" w:rsidRDefault="00A63A27">
            <w:pPr>
              <w:spacing w:after="0" w:line="240" w:lineRule="auto"/>
              <w:jc w:val="both"/>
              <w:rPr>
                <w:color w:val="000000" w:themeColor="text1"/>
              </w:rPr>
            </w:pPr>
            <w:r w:rsidRPr="00CF27C9">
              <w:rPr>
                <w:rFonts w:ascii="Times New Roman" w:hAnsi="Times New Roman" w:cs="Times New Roman"/>
                <w:color w:val="000000" w:themeColor="text1"/>
                <w:sz w:val="24"/>
                <w:szCs w:val="24"/>
              </w:rPr>
              <w:t>Nu este cazul</w:t>
            </w:r>
          </w:p>
        </w:tc>
      </w:tr>
    </w:tbl>
    <w:p w:rsidR="008F0D44" w:rsidRPr="00CF27C9" w:rsidRDefault="008F0D44" w:rsidP="008F0D44">
      <w:pPr>
        <w:spacing w:after="0" w:line="240" w:lineRule="auto"/>
        <w:jc w:val="both"/>
        <w:rPr>
          <w:rFonts w:ascii="Times New Roman" w:hAnsi="Times New Roman" w:cs="Times New Roman"/>
          <w:color w:val="000000" w:themeColor="text1"/>
          <w:sz w:val="24"/>
          <w:szCs w:val="24"/>
        </w:rPr>
      </w:pPr>
      <w:r w:rsidRPr="00CF27C9">
        <w:rPr>
          <w:rFonts w:ascii="Times New Roman" w:hAnsi="Times New Roman" w:cs="Times New Roman"/>
          <w:color w:val="000000" w:themeColor="text1"/>
          <w:sz w:val="24"/>
          <w:szCs w:val="24"/>
        </w:rPr>
        <w:t xml:space="preserve">Având în vedere cele prezentate, în temeiul prevederilor art. 115 alin. (4) din Constituție, republicată, a fost elaborat proiectul de Ordonanță de urgență pentru modificarea și completarea </w:t>
      </w:r>
      <w:r w:rsidR="00DE0F31" w:rsidRPr="00CF27C9">
        <w:rPr>
          <w:rFonts w:ascii="Times New Roman" w:hAnsi="Times New Roman" w:cs="Times New Roman"/>
          <w:color w:val="000000" w:themeColor="text1"/>
          <w:sz w:val="24"/>
          <w:szCs w:val="24"/>
        </w:rPr>
        <w:t>unor acte normative</w:t>
      </w:r>
      <w:r w:rsidR="00A73FC0" w:rsidRPr="00CF27C9">
        <w:rPr>
          <w:rFonts w:ascii="Times New Roman" w:hAnsi="Times New Roman" w:cs="Times New Roman"/>
          <w:color w:val="000000" w:themeColor="text1"/>
          <w:sz w:val="24"/>
          <w:szCs w:val="24"/>
        </w:rPr>
        <w:t xml:space="preserve"> </w:t>
      </w:r>
      <w:r w:rsidR="00A73FC0" w:rsidRPr="00CF27C9">
        <w:rPr>
          <w:rFonts w:ascii="Times New Roman" w:hAnsi="Times New Roman" w:cs="Times New Roman"/>
          <w:bCs/>
          <w:color w:val="000000" w:themeColor="text1"/>
          <w:sz w:val="24"/>
          <w:szCs w:val="24"/>
        </w:rPr>
        <w:t xml:space="preserve">și </w:t>
      </w:r>
      <w:r w:rsidR="0089098C" w:rsidRPr="00CF27C9">
        <w:rPr>
          <w:rFonts w:ascii="Times New Roman" w:hAnsi="Times New Roman" w:cs="Times New Roman"/>
          <w:bCs/>
          <w:color w:val="000000" w:themeColor="text1"/>
          <w:sz w:val="24"/>
          <w:szCs w:val="24"/>
        </w:rPr>
        <w:t xml:space="preserve">pentru </w:t>
      </w:r>
      <w:r w:rsidR="00A73FC0" w:rsidRPr="00CF27C9">
        <w:rPr>
          <w:rFonts w:ascii="Times New Roman" w:hAnsi="Times New Roman" w:cs="Times New Roman"/>
          <w:bCs/>
          <w:color w:val="000000" w:themeColor="text1"/>
          <w:sz w:val="24"/>
          <w:szCs w:val="24"/>
        </w:rPr>
        <w:t>prorogarea unui termen</w:t>
      </w:r>
      <w:r w:rsidR="00DE0F31" w:rsidRPr="00CF27C9">
        <w:rPr>
          <w:rFonts w:ascii="Times New Roman" w:hAnsi="Times New Roman" w:cs="Times New Roman"/>
          <w:color w:val="000000" w:themeColor="text1"/>
          <w:sz w:val="24"/>
          <w:szCs w:val="24"/>
        </w:rPr>
        <w:t>,</w:t>
      </w:r>
      <w:r w:rsidRPr="00CF27C9">
        <w:rPr>
          <w:rFonts w:ascii="Times New Roman" w:hAnsi="Times New Roman" w:cs="Times New Roman"/>
          <w:b/>
          <w:bCs/>
          <w:color w:val="000000" w:themeColor="text1"/>
          <w:sz w:val="24"/>
          <w:szCs w:val="24"/>
        </w:rPr>
        <w:t xml:space="preserve"> </w:t>
      </w:r>
      <w:r w:rsidRPr="00CF27C9">
        <w:rPr>
          <w:rFonts w:ascii="Times New Roman" w:hAnsi="Times New Roman" w:cs="Times New Roman"/>
          <w:color w:val="000000" w:themeColor="text1"/>
          <w:sz w:val="24"/>
          <w:szCs w:val="24"/>
        </w:rPr>
        <w:t>pe care îl supunem spre aprobare.</w:t>
      </w:r>
    </w:p>
    <w:p w:rsidR="008F0D44" w:rsidRPr="00CF27C9" w:rsidRDefault="008F0D44">
      <w:pPr>
        <w:spacing w:after="0" w:line="240" w:lineRule="auto"/>
        <w:jc w:val="both"/>
        <w:rPr>
          <w:rFonts w:ascii="Times New Roman" w:hAnsi="Times New Roman" w:cs="Times New Roman"/>
          <w:b/>
          <w:color w:val="000000" w:themeColor="text1"/>
          <w:sz w:val="24"/>
          <w:szCs w:val="24"/>
        </w:rPr>
      </w:pPr>
    </w:p>
    <w:p w:rsidR="001411AB" w:rsidRPr="00CF27C9" w:rsidRDefault="001411AB">
      <w:pPr>
        <w:spacing w:after="0" w:line="240" w:lineRule="auto"/>
        <w:ind w:firstLine="284"/>
        <w:jc w:val="both"/>
        <w:rPr>
          <w:rFonts w:ascii="Times New Roman" w:hAnsi="Times New Roman" w:cs="Times New Roman"/>
          <w:b/>
          <w:color w:val="000000" w:themeColor="text1"/>
          <w:sz w:val="24"/>
          <w:szCs w:val="24"/>
        </w:rPr>
      </w:pPr>
    </w:p>
    <w:p w:rsidR="00401ADC" w:rsidRPr="001411AB" w:rsidRDefault="00A63A27">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MINISTRUL FINANȚELOR PUBLICE,</w:t>
      </w:r>
    </w:p>
    <w:p w:rsidR="00401ADC" w:rsidRDefault="00A63A27" w:rsidP="001411AB">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EUGEN ORLANDO TEODOROVICI</w:t>
      </w:r>
    </w:p>
    <w:p w:rsidR="001411AB" w:rsidRPr="001411AB" w:rsidRDefault="001411AB" w:rsidP="001411AB">
      <w:pPr>
        <w:spacing w:after="0" w:line="240" w:lineRule="auto"/>
        <w:jc w:val="center"/>
        <w:rPr>
          <w:rFonts w:ascii="Times New Roman" w:hAnsi="Times New Roman" w:cs="Times New Roman"/>
          <w:b/>
          <w:bCs/>
          <w:color w:val="000000" w:themeColor="text1"/>
          <w:sz w:val="16"/>
          <w:szCs w:val="16"/>
          <w:shd w:val="clear" w:color="auto" w:fill="FFFFFF"/>
        </w:rPr>
      </w:pPr>
    </w:p>
    <w:p w:rsidR="00401ADC" w:rsidRPr="001411AB" w:rsidRDefault="00401ADC">
      <w:pPr>
        <w:spacing w:after="0" w:line="240" w:lineRule="auto"/>
        <w:jc w:val="center"/>
        <w:rPr>
          <w:rFonts w:ascii="Times New Roman" w:hAnsi="Times New Roman" w:cs="Times New Roman"/>
          <w:b/>
          <w:bCs/>
          <w:color w:val="000000" w:themeColor="text1"/>
          <w:sz w:val="16"/>
          <w:szCs w:val="16"/>
          <w:shd w:val="clear" w:color="auto" w:fill="FFFFFF"/>
        </w:rPr>
      </w:pPr>
    </w:p>
    <w:p w:rsidR="00401ADC" w:rsidRPr="001411AB" w:rsidRDefault="00A63A27">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VICEPRIM-MINISTRU, MINISTRUL MEDIULUI</w:t>
      </w:r>
      <w:r w:rsidR="00832F44" w:rsidRPr="001411AB">
        <w:rPr>
          <w:rFonts w:ascii="Times New Roman" w:hAnsi="Times New Roman" w:cs="Times New Roman"/>
          <w:b/>
          <w:color w:val="000000" w:themeColor="text1"/>
          <w:sz w:val="16"/>
          <w:szCs w:val="16"/>
        </w:rPr>
        <w:t>,</w:t>
      </w:r>
    </w:p>
    <w:p w:rsidR="00401ADC" w:rsidRPr="001411AB" w:rsidRDefault="00A63A27">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GRAȚIELA LEOCADIA GAVRILESCU</w:t>
      </w:r>
    </w:p>
    <w:p w:rsidR="00511225" w:rsidRPr="001411AB" w:rsidRDefault="00511225">
      <w:pPr>
        <w:spacing w:after="0" w:line="240" w:lineRule="auto"/>
        <w:jc w:val="center"/>
        <w:rPr>
          <w:rFonts w:ascii="Times New Roman" w:hAnsi="Times New Roman" w:cs="Times New Roman"/>
          <w:b/>
          <w:color w:val="000000" w:themeColor="text1"/>
          <w:sz w:val="16"/>
          <w:szCs w:val="16"/>
        </w:rPr>
      </w:pPr>
    </w:p>
    <w:p w:rsidR="00511225" w:rsidRPr="001411AB" w:rsidRDefault="00511225">
      <w:pPr>
        <w:spacing w:after="0" w:line="240" w:lineRule="auto"/>
        <w:jc w:val="center"/>
        <w:rPr>
          <w:rFonts w:ascii="Times New Roman" w:hAnsi="Times New Roman" w:cs="Times New Roman"/>
          <w:b/>
          <w:bCs/>
          <w:color w:val="000000" w:themeColor="text1"/>
          <w:sz w:val="16"/>
          <w:szCs w:val="16"/>
          <w:u w:val="single"/>
        </w:rPr>
      </w:pPr>
    </w:p>
    <w:p w:rsidR="00511225" w:rsidRPr="001411AB" w:rsidRDefault="00832F44" w:rsidP="00511225">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 xml:space="preserve">VICEPRIM-MINISTRU, </w:t>
      </w:r>
      <w:r w:rsidR="00511225" w:rsidRPr="001411AB">
        <w:rPr>
          <w:rFonts w:ascii="Times New Roman" w:hAnsi="Times New Roman" w:cs="Times New Roman"/>
          <w:b/>
          <w:color w:val="000000" w:themeColor="text1"/>
          <w:sz w:val="16"/>
          <w:szCs w:val="16"/>
        </w:rPr>
        <w:t xml:space="preserve">MINISTRUL DEZVOLTĂRII REGIONALE </w:t>
      </w:r>
      <w:r w:rsidRPr="001411AB">
        <w:rPr>
          <w:rFonts w:ascii="Times New Roman" w:hAnsi="Times New Roman" w:cs="Times New Roman"/>
          <w:b/>
          <w:color w:val="000000" w:themeColor="text1"/>
          <w:sz w:val="16"/>
          <w:szCs w:val="16"/>
        </w:rPr>
        <w:t>ȘI</w:t>
      </w:r>
      <w:r w:rsidR="00511225" w:rsidRPr="001411AB">
        <w:rPr>
          <w:rFonts w:ascii="Times New Roman" w:hAnsi="Times New Roman" w:cs="Times New Roman"/>
          <w:b/>
          <w:color w:val="000000" w:themeColor="text1"/>
          <w:sz w:val="16"/>
          <w:szCs w:val="16"/>
        </w:rPr>
        <w:t xml:space="preserve"> ADMINISTRA</w:t>
      </w:r>
      <w:r w:rsidRPr="001411AB">
        <w:rPr>
          <w:rFonts w:ascii="Times New Roman" w:hAnsi="Times New Roman" w:cs="Times New Roman"/>
          <w:b/>
          <w:color w:val="000000" w:themeColor="text1"/>
          <w:sz w:val="16"/>
          <w:szCs w:val="16"/>
        </w:rPr>
        <w:t>Ț</w:t>
      </w:r>
      <w:r w:rsidR="00511225" w:rsidRPr="001411AB">
        <w:rPr>
          <w:rFonts w:ascii="Times New Roman" w:hAnsi="Times New Roman" w:cs="Times New Roman"/>
          <w:b/>
          <w:color w:val="000000" w:themeColor="text1"/>
          <w:sz w:val="16"/>
          <w:szCs w:val="16"/>
        </w:rPr>
        <w:t>IEI PUBLICE,</w:t>
      </w:r>
    </w:p>
    <w:p w:rsidR="00832F44" w:rsidRPr="001411AB" w:rsidRDefault="00832F44" w:rsidP="00511225">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bCs/>
          <w:color w:val="000000" w:themeColor="text1"/>
          <w:sz w:val="16"/>
          <w:szCs w:val="16"/>
        </w:rPr>
        <w:t>PAUL ST</w:t>
      </w:r>
      <w:r w:rsidRPr="001411AB">
        <w:rPr>
          <w:rFonts w:ascii="Times New Roman" w:hAnsi="Times New Roman" w:cs="Times New Roman"/>
          <w:b/>
          <w:color w:val="000000" w:themeColor="text1"/>
          <w:sz w:val="16"/>
          <w:szCs w:val="16"/>
        </w:rPr>
        <w:t>Ă</w:t>
      </w:r>
      <w:r w:rsidRPr="001411AB">
        <w:rPr>
          <w:rFonts w:ascii="Times New Roman" w:hAnsi="Times New Roman" w:cs="Times New Roman"/>
          <w:b/>
          <w:bCs/>
          <w:color w:val="000000" w:themeColor="text1"/>
          <w:sz w:val="16"/>
          <w:szCs w:val="16"/>
        </w:rPr>
        <w:t>NESCU</w:t>
      </w:r>
    </w:p>
    <w:p w:rsidR="00401ADC" w:rsidRPr="001411AB" w:rsidRDefault="00401ADC" w:rsidP="001411AB">
      <w:pPr>
        <w:spacing w:after="0" w:line="240" w:lineRule="auto"/>
        <w:rPr>
          <w:rFonts w:ascii="Times New Roman" w:hAnsi="Times New Roman" w:cs="Times New Roman"/>
          <w:b/>
          <w:bCs/>
          <w:color w:val="000000" w:themeColor="text1"/>
          <w:sz w:val="16"/>
          <w:szCs w:val="16"/>
          <w:u w:val="single"/>
        </w:rPr>
      </w:pPr>
    </w:p>
    <w:p w:rsidR="00401ADC" w:rsidRPr="001411AB" w:rsidRDefault="00A63A27">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AVIZAT:</w:t>
      </w:r>
    </w:p>
    <w:p w:rsidR="00401ADC" w:rsidRPr="001411AB" w:rsidRDefault="00401ADC">
      <w:pPr>
        <w:spacing w:after="0" w:line="240" w:lineRule="auto"/>
        <w:jc w:val="center"/>
        <w:rPr>
          <w:rFonts w:ascii="Times New Roman" w:hAnsi="Times New Roman" w:cs="Times New Roman"/>
          <w:b/>
          <w:bCs/>
          <w:color w:val="000000" w:themeColor="text1"/>
          <w:sz w:val="16"/>
          <w:szCs w:val="16"/>
          <w:u w:val="single"/>
        </w:rPr>
      </w:pPr>
    </w:p>
    <w:p w:rsidR="00401ADC" w:rsidRPr="001411AB" w:rsidRDefault="00A63A27">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MINISTRUL AFACERILOR EXTERNE,</w:t>
      </w:r>
    </w:p>
    <w:p w:rsidR="00401ADC" w:rsidRPr="001411AB" w:rsidRDefault="00A63A27">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TEODOR – VIOREL MELEȘCANU</w:t>
      </w:r>
    </w:p>
    <w:p w:rsidR="0023584D" w:rsidRDefault="0023584D">
      <w:pPr>
        <w:spacing w:after="0" w:line="240" w:lineRule="auto"/>
        <w:jc w:val="center"/>
        <w:rPr>
          <w:rFonts w:ascii="Times New Roman" w:hAnsi="Times New Roman" w:cs="Times New Roman"/>
          <w:b/>
          <w:color w:val="000000" w:themeColor="text1"/>
          <w:sz w:val="16"/>
          <w:szCs w:val="16"/>
        </w:rPr>
      </w:pPr>
    </w:p>
    <w:p w:rsidR="001411AB" w:rsidRDefault="001411AB">
      <w:pPr>
        <w:spacing w:after="0" w:line="240" w:lineRule="auto"/>
        <w:jc w:val="center"/>
        <w:rPr>
          <w:rFonts w:ascii="Times New Roman" w:hAnsi="Times New Roman" w:cs="Times New Roman"/>
          <w:b/>
          <w:color w:val="000000" w:themeColor="text1"/>
          <w:sz w:val="16"/>
          <w:szCs w:val="16"/>
        </w:rPr>
      </w:pPr>
    </w:p>
    <w:p w:rsidR="001411AB" w:rsidRPr="001411AB" w:rsidRDefault="001411AB">
      <w:pPr>
        <w:spacing w:after="0" w:line="240" w:lineRule="auto"/>
        <w:jc w:val="center"/>
        <w:rPr>
          <w:rFonts w:ascii="Times New Roman" w:hAnsi="Times New Roman" w:cs="Times New Roman"/>
          <w:b/>
          <w:color w:val="000000" w:themeColor="text1"/>
          <w:sz w:val="16"/>
          <w:szCs w:val="16"/>
        </w:rPr>
      </w:pPr>
    </w:p>
    <w:p w:rsidR="0046720C" w:rsidRPr="001411AB" w:rsidRDefault="0046720C">
      <w:pPr>
        <w:spacing w:after="0" w:line="240" w:lineRule="auto"/>
        <w:jc w:val="center"/>
        <w:rPr>
          <w:rFonts w:ascii="Times New Roman" w:hAnsi="Times New Roman" w:cs="Times New Roman"/>
          <w:b/>
          <w:color w:val="000000" w:themeColor="text1"/>
          <w:sz w:val="16"/>
          <w:szCs w:val="16"/>
        </w:rPr>
      </w:pPr>
    </w:p>
    <w:p w:rsidR="0023584D" w:rsidRPr="001411AB" w:rsidRDefault="0023584D" w:rsidP="0023584D">
      <w:pPr>
        <w:pStyle w:val="DefaultText1"/>
        <w:jc w:val="center"/>
        <w:rPr>
          <w:b/>
          <w:color w:val="000000" w:themeColor="text1"/>
          <w:sz w:val="16"/>
          <w:szCs w:val="16"/>
          <w:shd w:val="clear" w:color="auto" w:fill="FFFFFF"/>
          <w:lang w:val="ro-RO"/>
        </w:rPr>
      </w:pPr>
      <w:r w:rsidRPr="001411AB">
        <w:rPr>
          <w:b/>
          <w:color w:val="000000" w:themeColor="text1"/>
          <w:sz w:val="16"/>
          <w:szCs w:val="16"/>
          <w:shd w:val="clear" w:color="auto" w:fill="FFFFFF"/>
          <w:lang w:val="ro-RO"/>
        </w:rPr>
        <w:t>MINISTRUL  DELEGAT PENTRU AFACERI EUROPENE</w:t>
      </w:r>
    </w:p>
    <w:p w:rsidR="0023584D" w:rsidRPr="001411AB" w:rsidRDefault="0023584D" w:rsidP="0023584D">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shd w:val="clear" w:color="auto" w:fill="FFFFFF"/>
        </w:rPr>
        <w:t>VICTOR NEGRESCU</w:t>
      </w:r>
    </w:p>
    <w:p w:rsidR="00401ADC" w:rsidRDefault="00401ADC">
      <w:pPr>
        <w:spacing w:after="0" w:line="240" w:lineRule="auto"/>
        <w:jc w:val="center"/>
        <w:rPr>
          <w:rFonts w:ascii="Times New Roman" w:hAnsi="Times New Roman" w:cs="Times New Roman"/>
          <w:b/>
          <w:color w:val="000000" w:themeColor="text1"/>
          <w:sz w:val="16"/>
          <w:szCs w:val="16"/>
        </w:rPr>
      </w:pPr>
    </w:p>
    <w:p w:rsidR="001411AB" w:rsidRDefault="001411AB">
      <w:pPr>
        <w:spacing w:after="0" w:line="240" w:lineRule="auto"/>
        <w:jc w:val="center"/>
        <w:rPr>
          <w:rFonts w:ascii="Times New Roman" w:hAnsi="Times New Roman" w:cs="Times New Roman"/>
          <w:b/>
          <w:color w:val="000000" w:themeColor="text1"/>
          <w:sz w:val="16"/>
          <w:szCs w:val="16"/>
        </w:rPr>
      </w:pPr>
    </w:p>
    <w:p w:rsidR="001411AB" w:rsidRPr="001411AB" w:rsidRDefault="001411AB">
      <w:pPr>
        <w:spacing w:after="0" w:line="240" w:lineRule="auto"/>
        <w:jc w:val="center"/>
        <w:rPr>
          <w:rFonts w:ascii="Times New Roman" w:hAnsi="Times New Roman" w:cs="Times New Roman"/>
          <w:b/>
          <w:color w:val="000000" w:themeColor="text1"/>
          <w:sz w:val="16"/>
          <w:szCs w:val="16"/>
        </w:rPr>
      </w:pPr>
    </w:p>
    <w:p w:rsidR="00401ADC" w:rsidRPr="001411AB" w:rsidRDefault="00401ADC">
      <w:pPr>
        <w:spacing w:after="0" w:line="240" w:lineRule="auto"/>
        <w:jc w:val="center"/>
        <w:rPr>
          <w:rFonts w:ascii="Times New Roman" w:hAnsi="Times New Roman" w:cs="Times New Roman"/>
          <w:b/>
          <w:color w:val="000000" w:themeColor="text1"/>
          <w:sz w:val="16"/>
          <w:szCs w:val="16"/>
        </w:rPr>
      </w:pPr>
    </w:p>
    <w:p w:rsidR="00AC776F" w:rsidRPr="001411AB" w:rsidRDefault="00AC776F" w:rsidP="00AC776F">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MINISTRUL MUNCII ȘI JUSTIȚIEI SOCIALE</w:t>
      </w:r>
      <w:r w:rsidR="00832F44" w:rsidRPr="001411AB">
        <w:rPr>
          <w:rFonts w:ascii="Times New Roman" w:hAnsi="Times New Roman" w:cs="Times New Roman"/>
          <w:b/>
          <w:color w:val="000000" w:themeColor="text1"/>
          <w:sz w:val="16"/>
          <w:szCs w:val="16"/>
        </w:rPr>
        <w:t>,</w:t>
      </w:r>
    </w:p>
    <w:p w:rsidR="00AC776F" w:rsidRPr="001411AB" w:rsidRDefault="00AC776F" w:rsidP="00AC776F">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LIA - OLGUȚA VASILESCU</w:t>
      </w:r>
    </w:p>
    <w:p w:rsidR="00AC776F" w:rsidRDefault="00AC776F" w:rsidP="00AC776F">
      <w:pPr>
        <w:spacing w:after="0" w:line="240" w:lineRule="auto"/>
        <w:jc w:val="center"/>
        <w:rPr>
          <w:rFonts w:ascii="Times New Roman" w:hAnsi="Times New Roman" w:cs="Times New Roman"/>
          <w:b/>
          <w:color w:val="000000" w:themeColor="text1"/>
          <w:sz w:val="16"/>
          <w:szCs w:val="16"/>
        </w:rPr>
      </w:pPr>
    </w:p>
    <w:p w:rsidR="001411AB" w:rsidRDefault="001411AB" w:rsidP="00AC776F">
      <w:pPr>
        <w:spacing w:after="0" w:line="240" w:lineRule="auto"/>
        <w:jc w:val="center"/>
        <w:rPr>
          <w:rFonts w:ascii="Times New Roman" w:hAnsi="Times New Roman" w:cs="Times New Roman"/>
          <w:b/>
          <w:color w:val="000000" w:themeColor="text1"/>
          <w:sz w:val="16"/>
          <w:szCs w:val="16"/>
        </w:rPr>
      </w:pPr>
    </w:p>
    <w:p w:rsidR="001411AB" w:rsidRPr="001411AB" w:rsidRDefault="001411AB" w:rsidP="00AC776F">
      <w:pPr>
        <w:spacing w:after="0" w:line="240" w:lineRule="auto"/>
        <w:jc w:val="center"/>
        <w:rPr>
          <w:rFonts w:ascii="Times New Roman" w:hAnsi="Times New Roman" w:cs="Times New Roman"/>
          <w:b/>
          <w:color w:val="000000" w:themeColor="text1"/>
          <w:sz w:val="16"/>
          <w:szCs w:val="16"/>
        </w:rPr>
      </w:pPr>
    </w:p>
    <w:p w:rsidR="00AC776F" w:rsidRPr="001411AB" w:rsidRDefault="00AC776F" w:rsidP="00AC776F">
      <w:pPr>
        <w:spacing w:after="0" w:line="240" w:lineRule="auto"/>
        <w:jc w:val="center"/>
        <w:rPr>
          <w:rFonts w:ascii="Times New Roman" w:hAnsi="Times New Roman" w:cs="Times New Roman"/>
          <w:b/>
          <w:color w:val="000000" w:themeColor="text1"/>
          <w:sz w:val="16"/>
          <w:szCs w:val="16"/>
        </w:rPr>
      </w:pPr>
    </w:p>
    <w:p w:rsidR="00AC776F" w:rsidRPr="001411AB" w:rsidRDefault="00AC776F" w:rsidP="00AC776F">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MINISTRUL SĂNĂTĂȚII</w:t>
      </w:r>
      <w:r w:rsidR="00832F44" w:rsidRPr="001411AB">
        <w:rPr>
          <w:rFonts w:ascii="Times New Roman" w:hAnsi="Times New Roman" w:cs="Times New Roman"/>
          <w:b/>
          <w:color w:val="000000" w:themeColor="text1"/>
          <w:sz w:val="16"/>
          <w:szCs w:val="16"/>
        </w:rPr>
        <w:t>,</w:t>
      </w:r>
    </w:p>
    <w:p w:rsidR="00AC776F" w:rsidRPr="001411AB" w:rsidRDefault="00AC776F" w:rsidP="00AC776F">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SORINA PINTEA</w:t>
      </w:r>
    </w:p>
    <w:p w:rsidR="00AC776F" w:rsidRDefault="00AC776F" w:rsidP="00AC776F">
      <w:pPr>
        <w:spacing w:after="0" w:line="240" w:lineRule="auto"/>
        <w:jc w:val="center"/>
        <w:rPr>
          <w:rFonts w:ascii="Times New Roman" w:hAnsi="Times New Roman" w:cs="Times New Roman"/>
          <w:b/>
          <w:color w:val="000000" w:themeColor="text1"/>
          <w:sz w:val="16"/>
          <w:szCs w:val="16"/>
        </w:rPr>
      </w:pPr>
    </w:p>
    <w:p w:rsidR="001411AB" w:rsidRPr="001411AB" w:rsidRDefault="001411AB" w:rsidP="00AC776F">
      <w:pPr>
        <w:spacing w:after="0" w:line="240" w:lineRule="auto"/>
        <w:jc w:val="center"/>
        <w:rPr>
          <w:rFonts w:ascii="Times New Roman" w:hAnsi="Times New Roman" w:cs="Times New Roman"/>
          <w:b/>
          <w:color w:val="000000" w:themeColor="text1"/>
          <w:sz w:val="16"/>
          <w:szCs w:val="16"/>
        </w:rPr>
      </w:pPr>
    </w:p>
    <w:p w:rsidR="00AC776F" w:rsidRPr="001411AB" w:rsidRDefault="00AC776F" w:rsidP="00AC776F">
      <w:pPr>
        <w:spacing w:after="0" w:line="240" w:lineRule="auto"/>
        <w:jc w:val="center"/>
        <w:rPr>
          <w:rFonts w:ascii="Times New Roman" w:hAnsi="Times New Roman" w:cs="Times New Roman"/>
          <w:b/>
          <w:color w:val="000000" w:themeColor="text1"/>
          <w:sz w:val="16"/>
          <w:szCs w:val="16"/>
        </w:rPr>
      </w:pPr>
    </w:p>
    <w:p w:rsidR="00AC776F" w:rsidRPr="001411AB" w:rsidRDefault="00AC776F" w:rsidP="00AC776F">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p. PREȘEDINTE CASA NAȚIONALĂ DE</w:t>
      </w:r>
      <w:r w:rsidR="00C325D1" w:rsidRPr="001411AB">
        <w:rPr>
          <w:rFonts w:ascii="Times New Roman" w:hAnsi="Times New Roman" w:cs="Times New Roman"/>
          <w:b/>
          <w:color w:val="000000" w:themeColor="text1"/>
          <w:sz w:val="16"/>
          <w:szCs w:val="16"/>
        </w:rPr>
        <w:t xml:space="preserve"> </w:t>
      </w:r>
      <w:r w:rsidRPr="001411AB">
        <w:rPr>
          <w:rFonts w:ascii="Times New Roman" w:hAnsi="Times New Roman" w:cs="Times New Roman"/>
          <w:b/>
          <w:color w:val="000000" w:themeColor="text1"/>
          <w:sz w:val="16"/>
          <w:szCs w:val="16"/>
        </w:rPr>
        <w:t>ASIGURĂRI DE SĂNĂTATE</w:t>
      </w:r>
      <w:r w:rsidR="00832F44" w:rsidRPr="001411AB">
        <w:rPr>
          <w:rFonts w:ascii="Times New Roman" w:hAnsi="Times New Roman" w:cs="Times New Roman"/>
          <w:b/>
          <w:color w:val="000000" w:themeColor="text1"/>
          <w:sz w:val="16"/>
          <w:szCs w:val="16"/>
        </w:rPr>
        <w:t>,</w:t>
      </w:r>
    </w:p>
    <w:p w:rsidR="00AC776F" w:rsidRPr="001411AB" w:rsidRDefault="00AC776F" w:rsidP="00AC776F">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RĂZVAN TEOHARI VULCĂNESCU</w:t>
      </w:r>
    </w:p>
    <w:p w:rsidR="00AC776F" w:rsidRDefault="00AC776F" w:rsidP="00AC776F">
      <w:pPr>
        <w:spacing w:after="0" w:line="240" w:lineRule="auto"/>
        <w:jc w:val="center"/>
        <w:rPr>
          <w:rFonts w:ascii="Times New Roman" w:hAnsi="Times New Roman" w:cs="Times New Roman"/>
          <w:b/>
          <w:color w:val="000000" w:themeColor="text1"/>
          <w:sz w:val="16"/>
          <w:szCs w:val="16"/>
        </w:rPr>
      </w:pPr>
    </w:p>
    <w:p w:rsidR="001411AB" w:rsidRDefault="001411AB" w:rsidP="00AC776F">
      <w:pPr>
        <w:spacing w:after="0" w:line="240" w:lineRule="auto"/>
        <w:jc w:val="center"/>
        <w:rPr>
          <w:rFonts w:ascii="Times New Roman" w:hAnsi="Times New Roman" w:cs="Times New Roman"/>
          <w:b/>
          <w:color w:val="000000" w:themeColor="text1"/>
          <w:sz w:val="16"/>
          <w:szCs w:val="16"/>
        </w:rPr>
      </w:pPr>
    </w:p>
    <w:p w:rsidR="00AC776F" w:rsidRPr="001411AB" w:rsidRDefault="00AC776F" w:rsidP="00AC776F">
      <w:pPr>
        <w:spacing w:after="0" w:line="240" w:lineRule="auto"/>
        <w:jc w:val="center"/>
        <w:rPr>
          <w:rFonts w:ascii="Times New Roman" w:hAnsi="Times New Roman" w:cs="Times New Roman"/>
          <w:b/>
          <w:color w:val="000000" w:themeColor="text1"/>
          <w:sz w:val="16"/>
          <w:szCs w:val="16"/>
        </w:rPr>
      </w:pPr>
      <w:bookmarkStart w:id="2" w:name="_GoBack"/>
      <w:bookmarkEnd w:id="2"/>
    </w:p>
    <w:p w:rsidR="00AC776F" w:rsidRPr="001411AB" w:rsidRDefault="00AC776F" w:rsidP="00AC776F">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MINISTERUL AGRICULTURII ŞI DEZVOLTĂRII RURALE</w:t>
      </w:r>
      <w:r w:rsidR="00832F44" w:rsidRPr="001411AB">
        <w:rPr>
          <w:rFonts w:ascii="Times New Roman" w:hAnsi="Times New Roman" w:cs="Times New Roman"/>
          <w:b/>
          <w:color w:val="000000" w:themeColor="text1"/>
          <w:sz w:val="16"/>
          <w:szCs w:val="16"/>
        </w:rPr>
        <w:t>,</w:t>
      </w:r>
    </w:p>
    <w:p w:rsidR="00AC776F" w:rsidRPr="001411AB" w:rsidRDefault="00AC776F" w:rsidP="00AC776F">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PETRE DAEA</w:t>
      </w:r>
    </w:p>
    <w:p w:rsidR="00AC776F" w:rsidRDefault="00AC776F" w:rsidP="00AC776F">
      <w:pPr>
        <w:spacing w:after="0" w:line="240" w:lineRule="auto"/>
        <w:jc w:val="center"/>
        <w:rPr>
          <w:rFonts w:ascii="Times New Roman" w:hAnsi="Times New Roman" w:cs="Times New Roman"/>
          <w:b/>
          <w:color w:val="000000" w:themeColor="text1"/>
          <w:sz w:val="16"/>
          <w:szCs w:val="16"/>
        </w:rPr>
      </w:pPr>
    </w:p>
    <w:p w:rsidR="001411AB" w:rsidRDefault="001411AB" w:rsidP="00AC776F">
      <w:pPr>
        <w:spacing w:after="0" w:line="240" w:lineRule="auto"/>
        <w:jc w:val="center"/>
        <w:rPr>
          <w:rFonts w:ascii="Times New Roman" w:hAnsi="Times New Roman" w:cs="Times New Roman"/>
          <w:b/>
          <w:color w:val="000000" w:themeColor="text1"/>
          <w:sz w:val="16"/>
          <w:szCs w:val="16"/>
        </w:rPr>
      </w:pPr>
    </w:p>
    <w:p w:rsidR="001411AB" w:rsidRDefault="001411AB" w:rsidP="00AC776F">
      <w:pPr>
        <w:spacing w:after="0" w:line="240" w:lineRule="auto"/>
        <w:jc w:val="center"/>
        <w:rPr>
          <w:rFonts w:ascii="Times New Roman" w:hAnsi="Times New Roman" w:cs="Times New Roman"/>
          <w:b/>
          <w:color w:val="000000" w:themeColor="text1"/>
          <w:sz w:val="16"/>
          <w:szCs w:val="16"/>
        </w:rPr>
      </w:pPr>
    </w:p>
    <w:p w:rsidR="001411AB" w:rsidRPr="001411AB" w:rsidRDefault="001411AB" w:rsidP="00AC776F">
      <w:pPr>
        <w:spacing w:after="0" w:line="240" w:lineRule="auto"/>
        <w:jc w:val="center"/>
        <w:rPr>
          <w:rFonts w:ascii="Times New Roman" w:hAnsi="Times New Roman" w:cs="Times New Roman"/>
          <w:b/>
          <w:color w:val="000000" w:themeColor="text1"/>
          <w:sz w:val="16"/>
          <w:szCs w:val="16"/>
        </w:rPr>
      </w:pPr>
    </w:p>
    <w:p w:rsidR="00C325D1" w:rsidRPr="001411AB" w:rsidRDefault="00C325D1" w:rsidP="00C325D1">
      <w:pPr>
        <w:spacing w:after="0" w:line="240" w:lineRule="auto"/>
        <w:jc w:val="center"/>
        <w:rPr>
          <w:rFonts w:ascii="Times New Roman" w:hAnsi="Times New Roman" w:cs="Times New Roman"/>
          <w:b/>
          <w:bCs/>
          <w:sz w:val="16"/>
          <w:szCs w:val="16"/>
        </w:rPr>
      </w:pPr>
      <w:r w:rsidRPr="001411AB">
        <w:rPr>
          <w:rFonts w:ascii="Times New Roman" w:hAnsi="Times New Roman" w:cs="Times New Roman"/>
          <w:b/>
          <w:sz w:val="16"/>
          <w:szCs w:val="16"/>
        </w:rPr>
        <w:t xml:space="preserve">MINISTRUL PENTRU MEDIUL DE AFACERI, </w:t>
      </w:r>
      <w:r w:rsidRPr="001411AB">
        <w:rPr>
          <w:rFonts w:ascii="Times New Roman" w:hAnsi="Times New Roman" w:cs="Times New Roman"/>
          <w:b/>
          <w:bCs/>
          <w:sz w:val="16"/>
          <w:szCs w:val="16"/>
        </w:rPr>
        <w:t>COMERȚ ȘI ANTEPRENORIAT,</w:t>
      </w:r>
    </w:p>
    <w:p w:rsidR="00C325D1" w:rsidRPr="001411AB" w:rsidRDefault="00C325D1" w:rsidP="00C325D1">
      <w:pPr>
        <w:spacing w:after="0" w:line="240" w:lineRule="auto"/>
        <w:jc w:val="center"/>
        <w:rPr>
          <w:rFonts w:ascii="Times New Roman" w:hAnsi="Times New Roman" w:cs="Times New Roman"/>
          <w:b/>
          <w:bCs/>
          <w:sz w:val="16"/>
          <w:szCs w:val="16"/>
        </w:rPr>
      </w:pPr>
      <w:r w:rsidRPr="001411AB">
        <w:rPr>
          <w:rFonts w:ascii="Times New Roman" w:hAnsi="Times New Roman" w:cs="Times New Roman"/>
          <w:b/>
          <w:bCs/>
          <w:sz w:val="16"/>
          <w:szCs w:val="16"/>
        </w:rPr>
        <w:t>STEFAN-RADU OPREA</w:t>
      </w:r>
    </w:p>
    <w:p w:rsidR="00C325D1" w:rsidRDefault="00C325D1" w:rsidP="00AC776F">
      <w:pPr>
        <w:spacing w:after="0" w:line="240" w:lineRule="auto"/>
        <w:jc w:val="center"/>
        <w:rPr>
          <w:rFonts w:ascii="Times New Roman" w:hAnsi="Times New Roman" w:cs="Times New Roman"/>
          <w:b/>
          <w:color w:val="000000" w:themeColor="text1"/>
          <w:sz w:val="16"/>
          <w:szCs w:val="16"/>
        </w:rPr>
      </w:pPr>
    </w:p>
    <w:p w:rsidR="002E7AEF" w:rsidRPr="001411AB" w:rsidRDefault="002E7AEF" w:rsidP="002E7AEF">
      <w:pPr>
        <w:shd w:val="clear" w:color="auto" w:fill="FFFFFF" w:themeFill="background1"/>
        <w:spacing w:after="0" w:line="240" w:lineRule="auto"/>
        <w:jc w:val="center"/>
        <w:rPr>
          <w:rFonts w:ascii="Times New Roman" w:hAnsi="Times New Roman" w:cs="Times New Roman"/>
          <w:b/>
          <w:color w:val="000000" w:themeColor="text1"/>
          <w:sz w:val="16"/>
          <w:szCs w:val="16"/>
        </w:rPr>
      </w:pPr>
    </w:p>
    <w:p w:rsidR="002E7AEF" w:rsidRPr="001411AB" w:rsidRDefault="002E7AEF" w:rsidP="002E7AEF">
      <w:pPr>
        <w:shd w:val="clear" w:color="auto" w:fill="FFFFFF" w:themeFill="background1"/>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MINISTRUL TRANSPORT</w:t>
      </w:r>
      <w:r w:rsidRPr="001411AB">
        <w:rPr>
          <w:rFonts w:ascii="Times New Roman" w:hAnsi="Times New Roman" w:cs="Times New Roman"/>
          <w:b/>
          <w:color w:val="000000" w:themeColor="text1"/>
          <w:sz w:val="16"/>
          <w:szCs w:val="16"/>
        </w:rPr>
        <w:t>URILOR,</w:t>
      </w:r>
    </w:p>
    <w:p w:rsidR="002E7AEF" w:rsidRPr="001411AB" w:rsidRDefault="002E7AEF" w:rsidP="002E7AEF">
      <w:pPr>
        <w:shd w:val="clear" w:color="auto" w:fill="FFFFFF" w:themeFill="background1"/>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LUCIAN SOVA</w:t>
      </w:r>
    </w:p>
    <w:p w:rsidR="001411AB" w:rsidRPr="001411AB" w:rsidRDefault="001411AB" w:rsidP="00AC776F">
      <w:pPr>
        <w:spacing w:after="0" w:line="240" w:lineRule="auto"/>
        <w:jc w:val="center"/>
        <w:rPr>
          <w:rFonts w:ascii="Times New Roman" w:hAnsi="Times New Roman" w:cs="Times New Roman"/>
          <w:b/>
          <w:color w:val="000000" w:themeColor="text1"/>
          <w:sz w:val="16"/>
          <w:szCs w:val="16"/>
        </w:rPr>
      </w:pPr>
    </w:p>
    <w:p w:rsidR="00401ADC" w:rsidRPr="001411AB" w:rsidRDefault="00401ADC">
      <w:pPr>
        <w:spacing w:after="0" w:line="240" w:lineRule="auto"/>
        <w:jc w:val="center"/>
        <w:rPr>
          <w:rFonts w:ascii="Times New Roman" w:hAnsi="Times New Roman" w:cs="Times New Roman"/>
          <w:b/>
          <w:bCs/>
          <w:color w:val="000000" w:themeColor="text1"/>
          <w:sz w:val="16"/>
          <w:szCs w:val="16"/>
        </w:rPr>
      </w:pPr>
    </w:p>
    <w:p w:rsidR="001411AB" w:rsidRPr="001411AB" w:rsidRDefault="00A63A27" w:rsidP="001411AB">
      <w:pPr>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MINISTRUL JUSTIȚIEI,</w:t>
      </w:r>
    </w:p>
    <w:p w:rsidR="00401ADC" w:rsidRDefault="00A63A27" w:rsidP="00A11E9F">
      <w:pPr>
        <w:shd w:val="clear" w:color="auto" w:fill="FFFFFF" w:themeFill="background1"/>
        <w:spacing w:after="0" w:line="240" w:lineRule="auto"/>
        <w:jc w:val="center"/>
        <w:rPr>
          <w:rFonts w:ascii="Times New Roman" w:hAnsi="Times New Roman" w:cs="Times New Roman"/>
          <w:b/>
          <w:color w:val="000000" w:themeColor="text1"/>
          <w:sz w:val="16"/>
          <w:szCs w:val="16"/>
        </w:rPr>
      </w:pPr>
      <w:r w:rsidRPr="001411AB">
        <w:rPr>
          <w:rFonts w:ascii="Times New Roman" w:hAnsi="Times New Roman" w:cs="Times New Roman"/>
          <w:b/>
          <w:color w:val="000000" w:themeColor="text1"/>
          <w:sz w:val="16"/>
          <w:szCs w:val="16"/>
        </w:rPr>
        <w:t>TUDOREL TOADER</w:t>
      </w:r>
    </w:p>
    <w:p w:rsidR="001411AB" w:rsidRPr="001411AB" w:rsidRDefault="001411AB" w:rsidP="00A11E9F">
      <w:pPr>
        <w:shd w:val="clear" w:color="auto" w:fill="FFFFFF" w:themeFill="background1"/>
        <w:spacing w:after="0" w:line="240" w:lineRule="auto"/>
        <w:jc w:val="center"/>
        <w:rPr>
          <w:rFonts w:ascii="Times New Roman" w:hAnsi="Times New Roman" w:cs="Times New Roman"/>
          <w:b/>
          <w:color w:val="000000" w:themeColor="text1"/>
          <w:sz w:val="16"/>
          <w:szCs w:val="16"/>
        </w:rPr>
      </w:pPr>
    </w:p>
    <w:sectPr w:rsidR="001411AB" w:rsidRPr="001411AB" w:rsidSect="00407149">
      <w:footerReference w:type="default" r:id="rId7"/>
      <w:pgSz w:w="11906" w:h="16838"/>
      <w:pgMar w:top="964" w:right="851" w:bottom="567" w:left="851" w:header="0" w:footer="709"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C11" w:rsidRDefault="00480C11">
      <w:pPr>
        <w:spacing w:after="0" w:line="240" w:lineRule="auto"/>
      </w:pPr>
      <w:r>
        <w:separator/>
      </w:r>
    </w:p>
  </w:endnote>
  <w:endnote w:type="continuationSeparator" w:id="0">
    <w:p w:rsidR="00480C11" w:rsidRDefault="0048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EE"/>
    <w:family w:val="roman"/>
    <w:pitch w:val="default"/>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Regular-Identity-H">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A3F" w:rsidRDefault="00EE3A3F">
    <w:pPr>
      <w:pStyle w:val="Footer"/>
      <w:ind w:right="360"/>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C11" w:rsidRDefault="00480C11">
      <w:pPr>
        <w:spacing w:after="0" w:line="240" w:lineRule="auto"/>
      </w:pPr>
      <w:r>
        <w:separator/>
      </w:r>
    </w:p>
  </w:footnote>
  <w:footnote w:type="continuationSeparator" w:id="0">
    <w:p w:rsidR="00480C11" w:rsidRDefault="00480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1237" w:hanging="360"/>
      </w:pPr>
      <w:rPr>
        <w:rFonts w:ascii="Symbol" w:hAnsi="Symbol" w:cs="Symbol"/>
        <w:sz w:val="24"/>
        <w:szCs w:val="24"/>
      </w:rPr>
    </w:lvl>
  </w:abstractNum>
  <w:abstractNum w:abstractNumId="1">
    <w:nsid w:val="0028291E"/>
    <w:multiLevelType w:val="multilevel"/>
    <w:tmpl w:val="198A2F86"/>
    <w:lvl w:ilvl="0">
      <w:start w:val="1"/>
      <w:numFmt w:val="decimal"/>
      <w:suff w:val="nothing"/>
      <w:lvlText w:val="%1"/>
      <w:lvlJc w:val="left"/>
      <w:pPr>
        <w:ind w:left="432" w:hanging="432"/>
      </w:pPr>
      <w:rPr>
        <w:b/>
        <w:sz w:val="24"/>
      </w:r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2">
    <w:nsid w:val="027912C5"/>
    <w:multiLevelType w:val="hybridMultilevel"/>
    <w:tmpl w:val="8A961F7C"/>
    <w:lvl w:ilvl="0" w:tplc="933E5C40">
      <w:numFmt w:val="bullet"/>
      <w:lvlText w:val="-"/>
      <w:lvlJc w:val="left"/>
      <w:pPr>
        <w:ind w:left="1495"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FA737C7"/>
    <w:multiLevelType w:val="multilevel"/>
    <w:tmpl w:val="37D697F4"/>
    <w:lvl w:ilvl="0">
      <w:start w:val="1"/>
      <w:numFmt w:val="bullet"/>
      <w:lvlText w:val=""/>
      <w:lvlJc w:val="left"/>
      <w:pPr>
        <w:ind w:left="144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C815E9"/>
    <w:multiLevelType w:val="multilevel"/>
    <w:tmpl w:val="6136C13A"/>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1062241"/>
    <w:multiLevelType w:val="hybridMultilevel"/>
    <w:tmpl w:val="4152468C"/>
    <w:lvl w:ilvl="0" w:tplc="D10C30FC">
      <w:start w:val="6"/>
      <w:numFmt w:val="upperLetter"/>
      <w:lvlText w:val="%1."/>
      <w:lvlJc w:val="left"/>
      <w:pPr>
        <w:ind w:left="381" w:hanging="360"/>
      </w:pPr>
      <w:rPr>
        <w:rFonts w:hint="default"/>
        <w:color w:val="FF0000"/>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6">
    <w:nsid w:val="39872B7A"/>
    <w:multiLevelType w:val="hybridMultilevel"/>
    <w:tmpl w:val="F0FA4F10"/>
    <w:lvl w:ilvl="0" w:tplc="9D28ABCE">
      <w:start w:val="7"/>
      <w:numFmt w:val="upperLetter"/>
      <w:lvlText w:val="%1."/>
      <w:lvlJc w:val="left"/>
      <w:pPr>
        <w:ind w:left="381" w:hanging="360"/>
      </w:pPr>
      <w:rPr>
        <w:rFonts w:hint="default"/>
        <w:color w:val="000000" w:themeColor="text1"/>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7">
    <w:nsid w:val="421F4FA5"/>
    <w:multiLevelType w:val="multilevel"/>
    <w:tmpl w:val="591AAE80"/>
    <w:lvl w:ilvl="0">
      <w:start w:val="1"/>
      <w:numFmt w:val="bullet"/>
      <w:lvlText w:val=""/>
      <w:lvlJc w:val="left"/>
      <w:pPr>
        <w:tabs>
          <w:tab w:val="num" w:pos="786"/>
        </w:tabs>
        <w:ind w:left="786" w:hanging="360"/>
      </w:pPr>
      <w:rPr>
        <w:rFonts w:ascii="Symbol" w:hAnsi="Symbol" w:cs="Symbol" w:hint="default"/>
        <w:b/>
        <w:sz w:val="24"/>
      </w:rPr>
    </w:lvl>
    <w:lvl w:ilvl="1">
      <w:start w:val="1"/>
      <w:numFmt w:val="bullet"/>
      <w:lvlText w:val="◦"/>
      <w:lvlJc w:val="left"/>
      <w:pPr>
        <w:tabs>
          <w:tab w:val="num" w:pos="1146"/>
        </w:tabs>
        <w:ind w:left="1146" w:hanging="360"/>
      </w:pPr>
      <w:rPr>
        <w:rFonts w:ascii="OpenSymbol" w:hAnsi="OpenSymbol" w:cs="OpenSymbol" w:hint="default"/>
      </w:rPr>
    </w:lvl>
    <w:lvl w:ilvl="2">
      <w:start w:val="1"/>
      <w:numFmt w:val="bullet"/>
      <w:lvlText w:val="▪"/>
      <w:lvlJc w:val="left"/>
      <w:pPr>
        <w:tabs>
          <w:tab w:val="num" w:pos="1506"/>
        </w:tabs>
        <w:ind w:left="1506" w:hanging="360"/>
      </w:pPr>
      <w:rPr>
        <w:rFonts w:ascii="OpenSymbol" w:hAnsi="OpenSymbol" w:cs="OpenSymbol" w:hint="default"/>
      </w:rPr>
    </w:lvl>
    <w:lvl w:ilvl="3">
      <w:start w:val="1"/>
      <w:numFmt w:val="bullet"/>
      <w:lvlText w:val=""/>
      <w:lvlJc w:val="left"/>
      <w:pPr>
        <w:tabs>
          <w:tab w:val="num" w:pos="1866"/>
        </w:tabs>
        <w:ind w:left="1866" w:hanging="360"/>
      </w:pPr>
      <w:rPr>
        <w:rFonts w:ascii="Symbol" w:hAnsi="Symbol" w:cs="Symbol" w:hint="default"/>
        <w:b/>
        <w:sz w:val="24"/>
      </w:rPr>
    </w:lvl>
    <w:lvl w:ilvl="4">
      <w:start w:val="1"/>
      <w:numFmt w:val="bullet"/>
      <w:lvlText w:val="◦"/>
      <w:lvlJc w:val="left"/>
      <w:pPr>
        <w:tabs>
          <w:tab w:val="num" w:pos="2226"/>
        </w:tabs>
        <w:ind w:left="2226" w:hanging="360"/>
      </w:pPr>
      <w:rPr>
        <w:rFonts w:ascii="OpenSymbol" w:hAnsi="OpenSymbol" w:cs="OpenSymbol" w:hint="default"/>
      </w:rPr>
    </w:lvl>
    <w:lvl w:ilvl="5">
      <w:start w:val="1"/>
      <w:numFmt w:val="bullet"/>
      <w:lvlText w:val="▪"/>
      <w:lvlJc w:val="left"/>
      <w:pPr>
        <w:tabs>
          <w:tab w:val="num" w:pos="2586"/>
        </w:tabs>
        <w:ind w:left="2586" w:hanging="360"/>
      </w:pPr>
      <w:rPr>
        <w:rFonts w:ascii="OpenSymbol" w:hAnsi="OpenSymbol" w:cs="OpenSymbol" w:hint="default"/>
      </w:rPr>
    </w:lvl>
    <w:lvl w:ilvl="6">
      <w:start w:val="1"/>
      <w:numFmt w:val="bullet"/>
      <w:lvlText w:val=""/>
      <w:lvlJc w:val="left"/>
      <w:pPr>
        <w:tabs>
          <w:tab w:val="num" w:pos="2946"/>
        </w:tabs>
        <w:ind w:left="2946" w:hanging="360"/>
      </w:pPr>
      <w:rPr>
        <w:rFonts w:ascii="Symbol" w:hAnsi="Symbol" w:cs="Symbol" w:hint="default"/>
        <w:b/>
        <w:sz w:val="24"/>
      </w:rPr>
    </w:lvl>
    <w:lvl w:ilvl="7">
      <w:start w:val="1"/>
      <w:numFmt w:val="bullet"/>
      <w:lvlText w:val="◦"/>
      <w:lvlJc w:val="left"/>
      <w:pPr>
        <w:tabs>
          <w:tab w:val="num" w:pos="3306"/>
        </w:tabs>
        <w:ind w:left="3306" w:hanging="360"/>
      </w:pPr>
      <w:rPr>
        <w:rFonts w:ascii="OpenSymbol" w:hAnsi="OpenSymbol" w:cs="OpenSymbol" w:hint="default"/>
      </w:rPr>
    </w:lvl>
    <w:lvl w:ilvl="8">
      <w:start w:val="1"/>
      <w:numFmt w:val="bullet"/>
      <w:lvlText w:val="▪"/>
      <w:lvlJc w:val="left"/>
      <w:pPr>
        <w:tabs>
          <w:tab w:val="num" w:pos="3666"/>
        </w:tabs>
        <w:ind w:left="3666" w:hanging="360"/>
      </w:pPr>
      <w:rPr>
        <w:rFonts w:ascii="OpenSymbol" w:hAnsi="OpenSymbol" w:cs="OpenSymbol" w:hint="default"/>
      </w:rPr>
    </w:lvl>
  </w:abstractNum>
  <w:abstractNum w:abstractNumId="8">
    <w:nsid w:val="44024E9D"/>
    <w:multiLevelType w:val="multilevel"/>
    <w:tmpl w:val="204427A2"/>
    <w:lvl w:ilvl="0">
      <w:start w:val="1"/>
      <w:numFmt w:val="bullet"/>
      <w:lvlText w:val=""/>
      <w:lvlJc w:val="left"/>
      <w:pPr>
        <w:ind w:left="144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2C1CD2"/>
    <w:multiLevelType w:val="multilevel"/>
    <w:tmpl w:val="A058E608"/>
    <w:lvl w:ilvl="0">
      <w:start w:val="1"/>
      <w:numFmt w:val="decimal"/>
      <w:suff w:val="nothing"/>
      <w:lvlText w:val="%1"/>
      <w:lvlJc w:val="left"/>
      <w:pPr>
        <w:ind w:left="432" w:hanging="432"/>
      </w:pPr>
      <w:rPr>
        <w:b/>
        <w:bCs/>
        <w:sz w:val="24"/>
        <w:szCs w:val="24"/>
      </w:r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0">
    <w:nsid w:val="4E056C27"/>
    <w:multiLevelType w:val="hybridMultilevel"/>
    <w:tmpl w:val="D278CD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E6A53EC"/>
    <w:multiLevelType w:val="multilevel"/>
    <w:tmpl w:val="769A696C"/>
    <w:lvl w:ilvl="0">
      <w:start w:val="1"/>
      <w:numFmt w:val="upperLetter"/>
      <w:lvlText w:val="%1."/>
      <w:lvlJc w:val="left"/>
      <w:pPr>
        <w:ind w:left="381" w:hanging="360"/>
      </w:pPr>
      <w:rPr>
        <w:b/>
        <w:bCs/>
        <w:color w:val="000000" w:themeColor="text1"/>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7C95F05"/>
    <w:multiLevelType w:val="multilevel"/>
    <w:tmpl w:val="30185072"/>
    <w:lvl w:ilvl="0">
      <w:start w:val="1"/>
      <w:numFmt w:val="bullet"/>
      <w:lvlText w:val=""/>
      <w:lvlJc w:val="left"/>
      <w:pPr>
        <w:ind w:left="144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8D61CC3"/>
    <w:multiLevelType w:val="multilevel"/>
    <w:tmpl w:val="5A2A5F20"/>
    <w:lvl w:ilvl="0">
      <w:start w:val="1"/>
      <w:numFmt w:val="bullet"/>
      <w:lvlText w:val=""/>
      <w:lvlJc w:val="left"/>
      <w:pPr>
        <w:ind w:left="144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A3837D2"/>
    <w:multiLevelType w:val="multilevel"/>
    <w:tmpl w:val="42B8E69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9"/>
  </w:num>
  <w:num w:numId="2">
    <w:abstractNumId w:val="8"/>
  </w:num>
  <w:num w:numId="3">
    <w:abstractNumId w:val="11"/>
  </w:num>
  <w:num w:numId="4">
    <w:abstractNumId w:val="1"/>
  </w:num>
  <w:num w:numId="5">
    <w:abstractNumId w:val="7"/>
  </w:num>
  <w:num w:numId="6">
    <w:abstractNumId w:val="14"/>
  </w:num>
  <w:num w:numId="7">
    <w:abstractNumId w:val="12"/>
  </w:num>
  <w:num w:numId="8">
    <w:abstractNumId w:val="3"/>
  </w:num>
  <w:num w:numId="9">
    <w:abstractNumId w:val="4"/>
  </w:num>
  <w:num w:numId="10">
    <w:abstractNumId w:val="13"/>
  </w:num>
  <w:num w:numId="11">
    <w:abstractNumId w:val="0"/>
  </w:num>
  <w:num w:numId="12">
    <w:abstractNumId w:val="10"/>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DC"/>
    <w:rsid w:val="00000BF7"/>
    <w:rsid w:val="00023277"/>
    <w:rsid w:val="0002616C"/>
    <w:rsid w:val="00034712"/>
    <w:rsid w:val="00040B01"/>
    <w:rsid w:val="00047FE6"/>
    <w:rsid w:val="00057134"/>
    <w:rsid w:val="0007152C"/>
    <w:rsid w:val="000833E9"/>
    <w:rsid w:val="000A5373"/>
    <w:rsid w:val="000B0B9E"/>
    <w:rsid w:val="000B1E1E"/>
    <w:rsid w:val="000C2101"/>
    <w:rsid w:val="000D4562"/>
    <w:rsid w:val="000F496A"/>
    <w:rsid w:val="000F5099"/>
    <w:rsid w:val="001411AB"/>
    <w:rsid w:val="00142C83"/>
    <w:rsid w:val="0014388B"/>
    <w:rsid w:val="001522F0"/>
    <w:rsid w:val="00181F4D"/>
    <w:rsid w:val="00183D50"/>
    <w:rsid w:val="0019025C"/>
    <w:rsid w:val="001A79A9"/>
    <w:rsid w:val="001C3544"/>
    <w:rsid w:val="001C4A4D"/>
    <w:rsid w:val="001E22D7"/>
    <w:rsid w:val="001F1531"/>
    <w:rsid w:val="001F658A"/>
    <w:rsid w:val="00225762"/>
    <w:rsid w:val="002342E0"/>
    <w:rsid w:val="0023584D"/>
    <w:rsid w:val="0024410F"/>
    <w:rsid w:val="00261E5D"/>
    <w:rsid w:val="00263675"/>
    <w:rsid w:val="00274586"/>
    <w:rsid w:val="002B33A6"/>
    <w:rsid w:val="002D7778"/>
    <w:rsid w:val="002E7AEF"/>
    <w:rsid w:val="002F3ADC"/>
    <w:rsid w:val="00320029"/>
    <w:rsid w:val="003340B6"/>
    <w:rsid w:val="00334B95"/>
    <w:rsid w:val="00340D47"/>
    <w:rsid w:val="003625BA"/>
    <w:rsid w:val="003758E8"/>
    <w:rsid w:val="00392596"/>
    <w:rsid w:val="003A3B90"/>
    <w:rsid w:val="003A412F"/>
    <w:rsid w:val="003A5644"/>
    <w:rsid w:val="003B67B7"/>
    <w:rsid w:val="003D27BA"/>
    <w:rsid w:val="003D6441"/>
    <w:rsid w:val="00401ADC"/>
    <w:rsid w:val="004046D1"/>
    <w:rsid w:val="00407149"/>
    <w:rsid w:val="00410349"/>
    <w:rsid w:val="0041790C"/>
    <w:rsid w:val="004268C1"/>
    <w:rsid w:val="00430446"/>
    <w:rsid w:val="0043630F"/>
    <w:rsid w:val="0046720C"/>
    <w:rsid w:val="00480C11"/>
    <w:rsid w:val="004843D3"/>
    <w:rsid w:val="00486FAF"/>
    <w:rsid w:val="00496A28"/>
    <w:rsid w:val="004A4F35"/>
    <w:rsid w:val="004C2CC8"/>
    <w:rsid w:val="004E4306"/>
    <w:rsid w:val="00511225"/>
    <w:rsid w:val="00511BE7"/>
    <w:rsid w:val="0052376E"/>
    <w:rsid w:val="00530CF2"/>
    <w:rsid w:val="0053731C"/>
    <w:rsid w:val="00537809"/>
    <w:rsid w:val="0055797A"/>
    <w:rsid w:val="00561B9B"/>
    <w:rsid w:val="0056572D"/>
    <w:rsid w:val="0057287D"/>
    <w:rsid w:val="005773D0"/>
    <w:rsid w:val="005A1164"/>
    <w:rsid w:val="005C3E56"/>
    <w:rsid w:val="005D4808"/>
    <w:rsid w:val="006003C0"/>
    <w:rsid w:val="006022FE"/>
    <w:rsid w:val="00635DB0"/>
    <w:rsid w:val="00636EA3"/>
    <w:rsid w:val="00642703"/>
    <w:rsid w:val="00643B77"/>
    <w:rsid w:val="00645174"/>
    <w:rsid w:val="006569D7"/>
    <w:rsid w:val="00665DB3"/>
    <w:rsid w:val="00683366"/>
    <w:rsid w:val="006845DA"/>
    <w:rsid w:val="006A32C0"/>
    <w:rsid w:val="006C0943"/>
    <w:rsid w:val="006C0B9D"/>
    <w:rsid w:val="006C2EA8"/>
    <w:rsid w:val="006D19BC"/>
    <w:rsid w:val="006E7F3C"/>
    <w:rsid w:val="0070480C"/>
    <w:rsid w:val="007379D8"/>
    <w:rsid w:val="007412B2"/>
    <w:rsid w:val="00752C3A"/>
    <w:rsid w:val="007535DA"/>
    <w:rsid w:val="0076017A"/>
    <w:rsid w:val="00797163"/>
    <w:rsid w:val="007A5388"/>
    <w:rsid w:val="007B5EDC"/>
    <w:rsid w:val="007B67E3"/>
    <w:rsid w:val="007C3C92"/>
    <w:rsid w:val="00825226"/>
    <w:rsid w:val="00832F44"/>
    <w:rsid w:val="008350F0"/>
    <w:rsid w:val="0083610A"/>
    <w:rsid w:val="008557ED"/>
    <w:rsid w:val="00855DA1"/>
    <w:rsid w:val="00857434"/>
    <w:rsid w:val="0086022B"/>
    <w:rsid w:val="008623C1"/>
    <w:rsid w:val="00885B87"/>
    <w:rsid w:val="0089098C"/>
    <w:rsid w:val="008A0F11"/>
    <w:rsid w:val="008A153A"/>
    <w:rsid w:val="008A271D"/>
    <w:rsid w:val="008C07FA"/>
    <w:rsid w:val="008C74B5"/>
    <w:rsid w:val="008D28D2"/>
    <w:rsid w:val="008D5A15"/>
    <w:rsid w:val="008E1303"/>
    <w:rsid w:val="008F0D44"/>
    <w:rsid w:val="008F7460"/>
    <w:rsid w:val="00924335"/>
    <w:rsid w:val="00934477"/>
    <w:rsid w:val="00937860"/>
    <w:rsid w:val="0094135C"/>
    <w:rsid w:val="00944680"/>
    <w:rsid w:val="00952A4C"/>
    <w:rsid w:val="00972889"/>
    <w:rsid w:val="009A52B7"/>
    <w:rsid w:val="009D1ACE"/>
    <w:rsid w:val="00A07C28"/>
    <w:rsid w:val="00A11E9F"/>
    <w:rsid w:val="00A2085D"/>
    <w:rsid w:val="00A278BE"/>
    <w:rsid w:val="00A378FE"/>
    <w:rsid w:val="00A4652B"/>
    <w:rsid w:val="00A543E3"/>
    <w:rsid w:val="00A63558"/>
    <w:rsid w:val="00A63A27"/>
    <w:rsid w:val="00A71979"/>
    <w:rsid w:val="00A71F09"/>
    <w:rsid w:val="00A73FC0"/>
    <w:rsid w:val="00A8458D"/>
    <w:rsid w:val="00A90D3E"/>
    <w:rsid w:val="00AA1097"/>
    <w:rsid w:val="00AA4C90"/>
    <w:rsid w:val="00AC776F"/>
    <w:rsid w:val="00AE5F49"/>
    <w:rsid w:val="00B1605C"/>
    <w:rsid w:val="00B42210"/>
    <w:rsid w:val="00B42416"/>
    <w:rsid w:val="00B479D8"/>
    <w:rsid w:val="00B63E32"/>
    <w:rsid w:val="00B70303"/>
    <w:rsid w:val="00B77E3A"/>
    <w:rsid w:val="00B94E68"/>
    <w:rsid w:val="00BB0809"/>
    <w:rsid w:val="00BC13CE"/>
    <w:rsid w:val="00BD0664"/>
    <w:rsid w:val="00BD5F55"/>
    <w:rsid w:val="00BE0CAC"/>
    <w:rsid w:val="00BF74DE"/>
    <w:rsid w:val="00C054D6"/>
    <w:rsid w:val="00C12E11"/>
    <w:rsid w:val="00C140E8"/>
    <w:rsid w:val="00C148C1"/>
    <w:rsid w:val="00C325D1"/>
    <w:rsid w:val="00C62248"/>
    <w:rsid w:val="00C77CA4"/>
    <w:rsid w:val="00C90A2E"/>
    <w:rsid w:val="00C92178"/>
    <w:rsid w:val="00CA465B"/>
    <w:rsid w:val="00CB0EAB"/>
    <w:rsid w:val="00CB0EAE"/>
    <w:rsid w:val="00CC0454"/>
    <w:rsid w:val="00CE197E"/>
    <w:rsid w:val="00CF27C9"/>
    <w:rsid w:val="00D0137C"/>
    <w:rsid w:val="00D06B0C"/>
    <w:rsid w:val="00D264CE"/>
    <w:rsid w:val="00D37575"/>
    <w:rsid w:val="00D542FB"/>
    <w:rsid w:val="00D673DE"/>
    <w:rsid w:val="00D768DB"/>
    <w:rsid w:val="00D8062A"/>
    <w:rsid w:val="00D82D89"/>
    <w:rsid w:val="00DA6D2C"/>
    <w:rsid w:val="00DB6EEE"/>
    <w:rsid w:val="00DB7540"/>
    <w:rsid w:val="00DD4C25"/>
    <w:rsid w:val="00DE0F31"/>
    <w:rsid w:val="00DF5AD0"/>
    <w:rsid w:val="00E02567"/>
    <w:rsid w:val="00E11656"/>
    <w:rsid w:val="00E43EB9"/>
    <w:rsid w:val="00E52B2D"/>
    <w:rsid w:val="00E60B1D"/>
    <w:rsid w:val="00E673AF"/>
    <w:rsid w:val="00E770AF"/>
    <w:rsid w:val="00E92479"/>
    <w:rsid w:val="00EC4F90"/>
    <w:rsid w:val="00ED07FF"/>
    <w:rsid w:val="00EE0738"/>
    <w:rsid w:val="00EE3A3F"/>
    <w:rsid w:val="00EF606F"/>
    <w:rsid w:val="00F24D0B"/>
    <w:rsid w:val="00F645A2"/>
    <w:rsid w:val="00F72133"/>
    <w:rsid w:val="00F729FB"/>
    <w:rsid w:val="00F8068A"/>
    <w:rsid w:val="00FB0453"/>
    <w:rsid w:val="00FD0886"/>
    <w:rsid w:val="00FF02A2"/>
    <w:rsid w:val="00FF523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AAF66-0282-42B1-A4F5-42E667D6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color w:val="00000A"/>
      <w:sz w:val="22"/>
      <w:szCs w:val="22"/>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hAnsi="Times New Roman" w:cs="Times New Roman"/>
      <w:b/>
      <w:bCs/>
      <w:sz w:val="24"/>
      <w:szCs w:val="24"/>
      <w:lang w:eastAsia="ro-RO"/>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Times New Roman" w:hAnsi="Times New Roman" w:cs="Times New Roman"/>
      <w:b/>
      <w:bCs/>
      <w:sz w:val="24"/>
      <w:szCs w:val="24"/>
    </w:rPr>
  </w:style>
  <w:style w:type="character" w:customStyle="1" w:styleId="WW8Num5z0">
    <w:name w:val="WW8Num5z0"/>
    <w:qFormat/>
    <w:rPr>
      <w:rFonts w:ascii="Times New Roman" w:hAnsi="Times New Roman" w:cs="Times New Roman"/>
      <w:bCs/>
      <w:sz w:val="24"/>
      <w:szCs w:val="24"/>
    </w:rPr>
  </w:style>
  <w:style w:type="character" w:customStyle="1" w:styleId="WW8Num6z0">
    <w:name w:val="WW8Num6z0"/>
    <w:qFormat/>
    <w:rPr>
      <w:rFonts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hAnsi="Times New Roman" w:cs="Times New Roman"/>
      <w:bCs/>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DefaultParagraphFont">
    <w:name w:val="WW-Default Paragraph Font"/>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DefaultParagraphFont1">
    <w:name w:val="WW-Default Paragraph Font1"/>
    <w:qFormat/>
  </w:style>
  <w:style w:type="character" w:customStyle="1" w:styleId="DefaultParagraphFont1">
    <w:name w:val="Default Paragraph Font1"/>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DefaultParagraphFont11">
    <w:name w:val="WW-Default Paragraph Font11"/>
    <w:qFormat/>
  </w:style>
  <w:style w:type="character" w:customStyle="1" w:styleId="WW-DefaultParagraphFont111">
    <w:name w:val="WW-Default Paragraph Font111"/>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WW-DefaultParagraphFont111111">
    <w:name w:val="WW-Default Paragraph Font111111"/>
    <w:qFormat/>
  </w:style>
  <w:style w:type="character" w:customStyle="1" w:styleId="WW-DefaultParagraphFont1111111">
    <w:name w:val="WW-Default Paragraph Font1111111"/>
    <w:qFormat/>
  </w:style>
  <w:style w:type="character" w:customStyle="1" w:styleId="WW-DefaultParagraphFont11111111">
    <w:name w:val="WW-Default Paragraph Font11111111"/>
    <w:qFormat/>
  </w:style>
  <w:style w:type="character" w:customStyle="1" w:styleId="WW-DefaultParagraphFont111111111">
    <w:name w:val="WW-Default Paragraph Font111111111"/>
    <w:qFormat/>
  </w:style>
  <w:style w:type="character" w:customStyle="1" w:styleId="WW-DefaultParagraphFont1111111111">
    <w:name w:val="WW-Default Paragraph Font1111111111"/>
    <w:qFormat/>
  </w:style>
  <w:style w:type="character" w:customStyle="1" w:styleId="WW-DefaultParagraphFont11111111111">
    <w:name w:val="WW-Default Paragraph Font11111111111"/>
    <w:qFormat/>
  </w:style>
  <w:style w:type="character" w:customStyle="1" w:styleId="WW-DefaultParagraphFont111111111111">
    <w:name w:val="WW-Default Paragraph Font111111111111"/>
    <w:qFormat/>
  </w:style>
  <w:style w:type="character" w:customStyle="1" w:styleId="WW-DefaultParagraphFont1111111111111">
    <w:name w:val="WW-Default Paragraph Font1111111111111"/>
    <w:qFormat/>
  </w:style>
  <w:style w:type="character" w:customStyle="1" w:styleId="WW-DefaultParagraphFont11111111111111">
    <w:name w:val="WW-Default Paragraph Font11111111111111"/>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DefaultParagraphFont111111111111111">
    <w:name w:val="WW-Default Paragraph Font111111111111111"/>
    <w:qFormat/>
  </w:style>
  <w:style w:type="character" w:styleId="PageNumber">
    <w:name w:val="page number"/>
    <w:qFormat/>
    <w:rPr>
      <w:rFonts w:cs="Times New Roman"/>
    </w:rPr>
  </w:style>
  <w:style w:type="character" w:customStyle="1" w:styleId="DefaultTextCaracter">
    <w:name w:val="Default Text Caracter"/>
    <w:qFormat/>
    <w:rPr>
      <w:sz w:val="24"/>
      <w:lang w:val="en-US"/>
    </w:rPr>
  </w:style>
  <w:style w:type="character" w:customStyle="1" w:styleId="fontstyle13">
    <w:name w:val="fontstyle13"/>
    <w:qFormat/>
    <w:rPr>
      <w:rFonts w:cs="Times New Roman"/>
    </w:rPr>
  </w:style>
  <w:style w:type="character" w:customStyle="1" w:styleId="Bullets">
    <w:name w:val="Bullets"/>
    <w:qFormat/>
    <w:rPr>
      <w:rFonts w:ascii="OpenSymbol" w:eastAsia="Times New Roman" w:hAnsi="OpenSymbol" w:cs="OpenSymbol"/>
    </w:rPr>
  </w:style>
  <w:style w:type="character" w:customStyle="1" w:styleId="BalloonTextChar">
    <w:name w:val="Balloon Text Char"/>
    <w:qFormat/>
    <w:rPr>
      <w:rFonts w:ascii="Segoe UI" w:hAnsi="Segoe UI" w:cs="Segoe UI"/>
      <w:sz w:val="18"/>
      <w:lang w:eastAsia="zh-CN"/>
    </w:rPr>
  </w:style>
  <w:style w:type="character" w:styleId="Strong">
    <w:name w:val="Strong"/>
    <w:qFormat/>
    <w:rPr>
      <w:b/>
    </w:rPr>
  </w:style>
  <w:style w:type="character" w:customStyle="1" w:styleId="CommentReference1">
    <w:name w:val="Comment Reference1"/>
    <w:qFormat/>
    <w:rPr>
      <w:sz w:val="16"/>
    </w:rPr>
  </w:style>
  <w:style w:type="character" w:customStyle="1" w:styleId="WW8Num16z2">
    <w:name w:val="WW8Num16z2"/>
    <w:qFormat/>
    <w:rPr>
      <w:rFonts w:ascii="Wingdings" w:hAnsi="Wingdings" w:cs="Wingdings"/>
    </w:rPr>
  </w:style>
  <w:style w:type="character" w:customStyle="1" w:styleId="ListLabel1">
    <w:name w:val="ListLabel 1"/>
    <w:qFormat/>
    <w:rPr>
      <w:rFonts w:ascii="Liberation Serif" w:hAnsi="Liberation Serif" w:cs="Liberation Serif"/>
    </w:rPr>
  </w:style>
  <w:style w:type="character" w:customStyle="1" w:styleId="CommentSubjectChar">
    <w:name w:val="Comment Subject Char"/>
    <w:qFormat/>
    <w:rPr>
      <w:b/>
      <w:lang w:val="ro-RO"/>
    </w:rPr>
  </w:style>
  <w:style w:type="character" w:customStyle="1" w:styleId="CommentTextChar">
    <w:name w:val="Comment Text Char"/>
    <w:qFormat/>
    <w:rPr>
      <w:lang w:val="ro-RO"/>
    </w:rPr>
  </w:style>
  <w:style w:type="character" w:customStyle="1" w:styleId="CaracterCaracterChar">
    <w:name w:val="Caracter Caracter Char"/>
    <w:qFormat/>
    <w:rPr>
      <w:sz w:val="24"/>
      <w:lang w:val="pl-PL"/>
    </w:rPr>
  </w:style>
  <w:style w:type="character" w:customStyle="1" w:styleId="sttalineat">
    <w:name w:val="st_talineat"/>
    <w:qFormat/>
    <w:rPr>
      <w:rFonts w:cs="Times New Roman"/>
    </w:rPr>
  </w:style>
  <w:style w:type="character" w:customStyle="1" w:styleId="CaracterCaracterChar1">
    <w:name w:val="Caracter Caracter Char1"/>
    <w:qFormat/>
    <w:rPr>
      <w:rFonts w:ascii="Tahoma" w:hAnsi="Tahoma" w:cs="Tahoma"/>
      <w:sz w:val="24"/>
      <w:lang w:val="pl-PL"/>
    </w:rPr>
  </w:style>
  <w:style w:type="character" w:customStyle="1" w:styleId="alineat">
    <w:name w:val="alineat"/>
    <w:qFormat/>
    <w:rPr>
      <w:rFonts w:cs="Times New Roman"/>
    </w:rPr>
  </w:style>
  <w:style w:type="character" w:customStyle="1" w:styleId="articol">
    <w:name w:val="articol"/>
    <w:qFormat/>
    <w:rPr>
      <w:rFonts w:cs="Times New Roman"/>
    </w:rPr>
  </w:style>
  <w:style w:type="character" w:customStyle="1" w:styleId="punct1">
    <w:name w:val="punct1"/>
    <w:qFormat/>
    <w:rPr>
      <w:b/>
      <w:color w:val="000000"/>
    </w:rPr>
  </w:style>
  <w:style w:type="character" w:customStyle="1" w:styleId="hpsatn">
    <w:name w:val="hps atn"/>
    <w:qFormat/>
    <w:rPr>
      <w:rFonts w:cs="Times New Roman"/>
    </w:rPr>
  </w:style>
  <w:style w:type="character" w:customStyle="1" w:styleId="def">
    <w:name w:val="def"/>
    <w:qFormat/>
    <w:rPr>
      <w:rFonts w:cs="Times New Roman"/>
    </w:rPr>
  </w:style>
  <w:style w:type="character" w:customStyle="1" w:styleId="hps">
    <w:name w:val="hps"/>
    <w:qFormat/>
    <w:rPr>
      <w:rFonts w:cs="Times New Roman"/>
    </w:rPr>
  </w:style>
  <w:style w:type="character" w:customStyle="1" w:styleId="InternetLink">
    <w:name w:val="Internet Link"/>
    <w:rPr>
      <w:color w:val="0000FF"/>
      <w:u w:val="none"/>
    </w:rPr>
  </w:style>
  <w:style w:type="character" w:customStyle="1" w:styleId="preambul1">
    <w:name w:val="preambul1"/>
    <w:qFormat/>
    <w:rPr>
      <w:i/>
      <w:color w:val="000000"/>
    </w:rPr>
  </w:style>
  <w:style w:type="character" w:customStyle="1" w:styleId="ln2tparagraf">
    <w:name w:val="ln2tparagraf"/>
    <w:qFormat/>
  </w:style>
  <w:style w:type="character" w:customStyle="1" w:styleId="ln2capitol1">
    <w:name w:val="ln2capitol1"/>
    <w:qFormat/>
    <w:rPr>
      <w:rFonts w:ascii="Arial" w:hAnsi="Arial" w:cs="Arial"/>
      <w:b/>
      <w:color w:val="000000"/>
    </w:rPr>
  </w:style>
  <w:style w:type="character" w:customStyle="1" w:styleId="ln2tpunct">
    <w:name w:val="ln2tpunct"/>
    <w:qFormat/>
  </w:style>
  <w:style w:type="character" w:customStyle="1" w:styleId="ln2tlitera">
    <w:name w:val="ln2tlitera"/>
    <w:qFormat/>
  </w:style>
  <w:style w:type="character" w:customStyle="1" w:styleId="ln2litera1">
    <w:name w:val="ln2litera1"/>
    <w:qFormat/>
    <w:rPr>
      <w:b/>
      <w:color w:val="000000"/>
    </w:rPr>
  </w:style>
  <w:style w:type="character" w:customStyle="1" w:styleId="FontStyle14">
    <w:name w:val="Font Style14"/>
    <w:qFormat/>
    <w:rPr>
      <w:rFonts w:ascii="Times New Roman" w:hAnsi="Times New Roman" w:cs="Times New Roman"/>
      <w:sz w:val="20"/>
    </w:rPr>
  </w:style>
  <w:style w:type="character" w:customStyle="1" w:styleId="alineat1">
    <w:name w:val="alineat1"/>
    <w:qFormat/>
    <w:rPr>
      <w:b/>
      <w:color w:val="000000"/>
    </w:rPr>
  </w:style>
  <w:style w:type="character" w:customStyle="1" w:styleId="HeaderChar">
    <w:name w:val="Header Char"/>
    <w:qFormat/>
    <w:rPr>
      <w:sz w:val="24"/>
      <w:lang w:val="en-US"/>
    </w:rPr>
  </w:style>
  <w:style w:type="character" w:customStyle="1" w:styleId="DefaultTextChar">
    <w:name w:val="Default Text Char"/>
    <w:qFormat/>
    <w:rPr>
      <w:sz w:val="24"/>
      <w:lang w:val="en-US"/>
    </w:rPr>
  </w:style>
  <w:style w:type="character" w:customStyle="1" w:styleId="ln2tarticol">
    <w:name w:val="ln2tarticol"/>
    <w:qFormat/>
  </w:style>
  <w:style w:type="character" w:customStyle="1" w:styleId="ln2articol1">
    <w:name w:val="ln2articol1"/>
    <w:qFormat/>
    <w:rPr>
      <w:b/>
      <w:color w:val="0000AF"/>
    </w:rPr>
  </w:style>
  <w:style w:type="character" w:customStyle="1" w:styleId="FooterChar">
    <w:name w:val="Footer Char"/>
    <w:qFormat/>
    <w:rPr>
      <w:sz w:val="24"/>
      <w:lang w:val="ro-RO"/>
    </w:rPr>
  </w:style>
  <w:style w:type="character" w:customStyle="1" w:styleId="tal1">
    <w:name w:val="tal1"/>
    <w:qFormat/>
    <w:rPr>
      <w:rFonts w:cs="Times New Roman"/>
    </w:rPr>
  </w:style>
  <w:style w:type="character" w:customStyle="1" w:styleId="al1">
    <w:name w:val="al1"/>
    <w:qFormat/>
    <w:rPr>
      <w:b/>
      <w:color w:val="008F00"/>
    </w:rPr>
  </w:style>
  <w:style w:type="character" w:customStyle="1" w:styleId="ar1">
    <w:name w:val="ar1"/>
    <w:qFormat/>
    <w:rPr>
      <w:b/>
      <w:color w:val="0000AF"/>
      <w:sz w:val="22"/>
    </w:rPr>
  </w:style>
  <w:style w:type="character" w:customStyle="1" w:styleId="ln2alineat1">
    <w:name w:val="ln2alineat1"/>
    <w:qFormat/>
    <w:rPr>
      <w:b/>
      <w:color w:val="74929F"/>
    </w:rPr>
  </w:style>
  <w:style w:type="character" w:customStyle="1" w:styleId="ln2talineat">
    <w:name w:val="ln2talineat"/>
    <w:qFormat/>
  </w:style>
  <w:style w:type="character" w:customStyle="1" w:styleId="HTMLCite1">
    <w:name w:val="HTML Cite1"/>
    <w:qFormat/>
    <w:rPr>
      <w:i/>
    </w:rPr>
  </w:style>
  <w:style w:type="character" w:customStyle="1" w:styleId="CharCharCaracterCaracterChar">
    <w:name w:val="Char Char Caracter Caracter Char"/>
    <w:qFormat/>
    <w:rPr>
      <w:sz w:val="24"/>
      <w:lang w:val="pl-PL"/>
    </w:rPr>
  </w:style>
  <w:style w:type="character" w:customStyle="1" w:styleId="HeaderChar1">
    <w:name w:val="Header Char1"/>
    <w:qFormat/>
    <w:rPr>
      <w:sz w:val="24"/>
      <w:lang w:val="en-US"/>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rPr>
      <w:b/>
      <w:color w:val="000000"/>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1">
    <w:name w:val="WW8Num33z1"/>
    <w:qFormat/>
  </w:style>
  <w:style w:type="character" w:customStyle="1" w:styleId="WW8Num33z0">
    <w:name w:val="WW8Num33z0"/>
    <w:qFormat/>
    <w:rPr>
      <w:b/>
      <w:color w:val="000000"/>
    </w:rPr>
  </w:style>
  <w:style w:type="character" w:customStyle="1" w:styleId="WW8Num32z3">
    <w:name w:val="WW8Num32z3"/>
    <w:qFormat/>
    <w:rPr>
      <w:rFonts w:ascii="Symbol" w:hAnsi="Symbol" w:cs="Symbol"/>
    </w:rPr>
  </w:style>
  <w:style w:type="character" w:customStyle="1" w:styleId="WW8Num32z2">
    <w:name w:val="WW8Num32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0">
    <w:name w:val="WW8Num32z0"/>
    <w:qFormat/>
    <w:rPr>
      <w:b/>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style>
  <w:style w:type="character" w:customStyle="1" w:styleId="WW8Num31z0">
    <w:name w:val="WW8Num31z0"/>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3">
    <w:name w:val="WW8Num29z3"/>
    <w:qFormat/>
    <w:rPr>
      <w:rFonts w:ascii="Symbol" w:hAnsi="Symbol" w:cs="Symbol"/>
    </w:rPr>
  </w:style>
  <w:style w:type="character" w:customStyle="1" w:styleId="WW8Num29z2">
    <w:name w:val="WW8Num29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0">
    <w:name w:val="WW8Num29z0"/>
    <w:qFormat/>
    <w:rPr>
      <w:rFonts w:ascii="Arial" w:hAnsi="Arial" w:cs="Arial"/>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rPr>
      <w:rFonts w:ascii="Arial" w:hAnsi="Arial" w:cs="Arial"/>
      <w:color w:val="FF0000"/>
      <w:sz w:val="28"/>
      <w:lang w:val="it-IT"/>
    </w:rPr>
  </w:style>
  <w:style w:type="character" w:customStyle="1" w:styleId="WW8Num24z3">
    <w:name w:val="WW8Num24z3"/>
    <w:qFormat/>
    <w:rPr>
      <w:rFonts w:ascii="Symbol" w:hAnsi="Symbol" w:cs="Symbol"/>
    </w:rPr>
  </w:style>
  <w:style w:type="character" w:customStyle="1" w:styleId="WW8Num24z2">
    <w:name w:val="WW8Num24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0">
    <w:name w:val="WW8Num24z0"/>
    <w:qFormat/>
    <w:rPr>
      <w:rFonts w:ascii="Times New Roman" w:hAnsi="Times New Roman" w:cs="Times New Roman"/>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b/>
      <w:color w:val="000000"/>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rPr>
      <w:b/>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sz w:val="24"/>
    </w:rPr>
  </w:style>
  <w:style w:type="character" w:customStyle="1" w:styleId="WW8Num18z3">
    <w:name w:val="WW8Num18z3"/>
    <w:qFormat/>
    <w:rPr>
      <w:rFonts w:ascii="Symbol" w:hAnsi="Symbol" w:cs="Symbol"/>
    </w:rPr>
  </w:style>
  <w:style w:type="character" w:customStyle="1" w:styleId="WW8Num18z2">
    <w:name w:val="WW8Num18z2"/>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0">
    <w:name w:val="WW8Num18z0"/>
    <w:qFormat/>
    <w:rPr>
      <w:rFonts w:ascii="Times New Roman" w:hAnsi="Times New Roman"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4">
    <w:name w:val="WW8Num14z4"/>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4z2">
    <w:name w:val="WW8Num14z2"/>
    <w:qFormat/>
    <w:rPr>
      <w:rFonts w:ascii="Arial" w:hAnsi="Arial" w:cs="Arial"/>
    </w:rPr>
  </w:style>
  <w:style w:type="character" w:customStyle="1" w:styleId="WW8Num14z1">
    <w:name w:val="WW8Num14z1"/>
    <w:qFormat/>
    <w:rPr>
      <w:rFonts w:ascii="Wingdings" w:hAnsi="Wingdings" w:cs="Wingdings"/>
    </w:rPr>
  </w:style>
  <w:style w:type="character" w:customStyle="1" w:styleId="WW8Num14z0">
    <w:name w:val="WW8Num14z0"/>
    <w:qFormat/>
    <w:rPr>
      <w:rFonts w:ascii="Times New Roman" w:hAnsi="Times New Roman" w:cs="Times New Roman"/>
    </w:rPr>
  </w:style>
  <w:style w:type="character" w:customStyle="1" w:styleId="WW8Num13z5">
    <w:name w:val="WW8Num13z5"/>
    <w:qFormat/>
    <w:rPr>
      <w:rFonts w:ascii="Wingdings" w:hAnsi="Wingdings" w:cs="Wingdings"/>
    </w:rPr>
  </w:style>
  <w:style w:type="character" w:customStyle="1" w:styleId="WW8Num13z3">
    <w:name w:val="WW8Num13z3"/>
    <w:qFormat/>
    <w:rPr>
      <w:rFonts w:ascii="Symbol" w:hAnsi="Symbol" w:cs="Symbol"/>
    </w:rPr>
  </w:style>
  <w:style w:type="character" w:customStyle="1" w:styleId="WW8Num13z2">
    <w:name w:val="WW8Num13z2"/>
    <w:qFormat/>
    <w:rPr>
      <w:rFonts w:ascii="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sz w:val="24"/>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NumberingSymbols">
    <w:name w:val="Numbering Symbols"/>
    <w:qFormat/>
  </w:style>
  <w:style w:type="character" w:customStyle="1" w:styleId="BodyTextChar">
    <w:name w:val="Body Text Char"/>
    <w:qFormat/>
    <w:rPr>
      <w:sz w:val="28"/>
      <w:szCs w:val="28"/>
      <w:lang w:eastAsia="zh-CN"/>
    </w:rPr>
  </w:style>
  <w:style w:type="character" w:customStyle="1" w:styleId="HeaderChar2">
    <w:name w:val="Header Char2"/>
    <w:qFormat/>
    <w:rPr>
      <w:sz w:val="28"/>
      <w:szCs w:val="28"/>
      <w:lang w:eastAsia="zh-CN"/>
    </w:rPr>
  </w:style>
  <w:style w:type="character" w:customStyle="1" w:styleId="FooterChar1">
    <w:name w:val="Footer Char1"/>
    <w:qFormat/>
    <w:rPr>
      <w:sz w:val="28"/>
      <w:szCs w:val="28"/>
      <w:lang w:eastAsia="zh-CN"/>
    </w:rPr>
  </w:style>
  <w:style w:type="character" w:customStyle="1" w:styleId="BalloonTextChar1">
    <w:name w:val="Balloon Text Char1"/>
    <w:qFormat/>
    <w:rPr>
      <w:sz w:val="0"/>
      <w:szCs w:val="0"/>
      <w:lang w:eastAsia="zh-CN"/>
    </w:rPr>
  </w:style>
  <w:style w:type="character" w:customStyle="1" w:styleId="CommentTextChar1">
    <w:name w:val="Comment Text Char1"/>
    <w:qFormat/>
    <w:rPr>
      <w:lang w:eastAsia="zh-CN"/>
    </w:rPr>
  </w:style>
  <w:style w:type="character" w:customStyle="1" w:styleId="CommentSubjectChar1">
    <w:name w:val="Comment Subject Char1"/>
    <w:qFormat/>
    <w:rPr>
      <w:b/>
      <w:bCs/>
      <w:lang w:eastAsia="zh-CN"/>
    </w:rPr>
  </w:style>
  <w:style w:type="character" w:customStyle="1" w:styleId="apple-converted-space">
    <w:name w:val="apple-converted-space"/>
    <w:basedOn w:val="WW-DefaultParagraphFont111111"/>
    <w:qFormat/>
  </w:style>
  <w:style w:type="character" w:customStyle="1" w:styleId="ListparagrafCaracter">
    <w:name w:val="Listă paragraf Caracter"/>
    <w:qFormat/>
    <w:rPr>
      <w:rFonts w:ascii="Calibri" w:hAnsi="Calibri" w:cs="Arial"/>
      <w:sz w:val="22"/>
      <w:szCs w:val="22"/>
      <w:lang w:val="ro-RO" w:eastAsia="zh-CN"/>
    </w:rPr>
  </w:style>
  <w:style w:type="character" w:customStyle="1" w:styleId="BalloonTextChar2">
    <w:name w:val="Balloon Text Char2"/>
    <w:qFormat/>
    <w:rPr>
      <w:rFonts w:ascii="Segoe UI" w:hAnsi="Segoe UI" w:cs="Segoe UI"/>
      <w:sz w:val="18"/>
      <w:szCs w:val="18"/>
      <w:lang w:val="ro-RO" w:eastAsia="zh-CN"/>
    </w:rPr>
  </w:style>
  <w:style w:type="character" w:customStyle="1" w:styleId="ListLabel309">
    <w:name w:val="ListLabel 309"/>
    <w:qFormat/>
    <w:rPr>
      <w:rFonts w:cs="OpenSymbol"/>
      <w:sz w:val="28"/>
      <w:szCs w:val="28"/>
    </w:rPr>
  </w:style>
  <w:style w:type="character" w:customStyle="1" w:styleId="ListLabel308">
    <w:name w:val="ListLabel 308"/>
    <w:qFormat/>
    <w:rPr>
      <w:rFonts w:ascii="Arial" w:hAnsi="Arial" w:cs="OpenSymbol"/>
      <w:b/>
      <w:color w:val="000000"/>
      <w:sz w:val="26"/>
      <w:szCs w:val="28"/>
      <w:lang w:val="ro-RO" w:eastAsia="ro-RO" w:bidi="ar-SA"/>
    </w:rPr>
  </w:style>
  <w:style w:type="character" w:customStyle="1" w:styleId="ListLabel307">
    <w:name w:val="ListLabel 307"/>
    <w:qFormat/>
    <w:rPr>
      <w:rFonts w:ascii="Arial" w:eastAsia="Times New Roman" w:hAnsi="Arial" w:cs="Arial"/>
      <w:b/>
      <w:bCs/>
      <w:color w:val="000000"/>
      <w:sz w:val="26"/>
      <w:szCs w:val="26"/>
      <w:lang w:val="ro-RO" w:eastAsia="ro-RO" w:bidi="ar-SA"/>
    </w:rPr>
  </w:style>
  <w:style w:type="character" w:styleId="CommentReference">
    <w:name w:val="annotation reference"/>
    <w:basedOn w:val="DefaultParagraphFont"/>
    <w:uiPriority w:val="99"/>
    <w:semiHidden/>
    <w:unhideWhenUsed/>
    <w:qFormat/>
    <w:rsid w:val="00EB03D2"/>
    <w:rPr>
      <w:sz w:val="16"/>
      <w:szCs w:val="16"/>
    </w:rPr>
  </w:style>
  <w:style w:type="character" w:customStyle="1" w:styleId="CommentTextChar2">
    <w:name w:val="Comment Text Char2"/>
    <w:basedOn w:val="DefaultParagraphFont"/>
    <w:link w:val="CommentText"/>
    <w:uiPriority w:val="99"/>
    <w:semiHidden/>
    <w:qFormat/>
    <w:rsid w:val="00EB03D2"/>
    <w:rPr>
      <w:rFonts w:ascii="Calibri" w:hAnsi="Calibri" w:cs="Calibri"/>
      <w:lang w:val="ro-RO" w:eastAsia="zh-CN"/>
    </w:rPr>
  </w:style>
  <w:style w:type="character" w:customStyle="1" w:styleId="CommentSubjectChar2">
    <w:name w:val="Comment Subject Char2"/>
    <w:basedOn w:val="CommentTextChar2"/>
    <w:link w:val="CommentSubject"/>
    <w:uiPriority w:val="99"/>
    <w:semiHidden/>
    <w:qFormat/>
    <w:rsid w:val="00EB03D2"/>
    <w:rPr>
      <w:rFonts w:ascii="Calibri" w:hAnsi="Calibri" w:cs="Calibri"/>
      <w:b/>
      <w:bCs/>
      <w:lang w:val="ro-RO" w:eastAsia="zh-CN"/>
    </w:rPr>
  </w:style>
  <w:style w:type="character" w:customStyle="1" w:styleId="ListLabel310">
    <w:name w:val="ListLabel 310"/>
    <w:qFormat/>
    <w:rPr>
      <w:rFonts w:ascii="Times New Roman" w:hAnsi="Times New Roman" w:cs="Times New Roman"/>
      <w:b/>
      <w:bCs/>
      <w:sz w:val="24"/>
      <w:szCs w:val="24"/>
      <w:lang w:eastAsia="ro-RO"/>
    </w:rPr>
  </w:style>
  <w:style w:type="character" w:customStyle="1" w:styleId="ListLabel311">
    <w:name w:val="ListLabel 311"/>
    <w:qFormat/>
    <w:rPr>
      <w:rFonts w:ascii="Times New Roman" w:hAnsi="Times New Roman" w:cs="Symbol"/>
      <w:b/>
      <w:sz w:val="24"/>
    </w:rPr>
  </w:style>
  <w:style w:type="character" w:customStyle="1" w:styleId="ListLabel312">
    <w:name w:val="ListLabel 312"/>
    <w:qFormat/>
    <w:rPr>
      <w:rFonts w:ascii="Times New Roman" w:hAnsi="Times New Roman" w:cs="Times New Roman"/>
      <w:b/>
      <w:bCs/>
      <w:sz w:val="24"/>
      <w:szCs w:val="24"/>
    </w:rPr>
  </w:style>
  <w:style w:type="character" w:customStyle="1" w:styleId="ListLabel313">
    <w:name w:val="ListLabel 313"/>
    <w:qFormat/>
    <w:rPr>
      <w:rFonts w:ascii="Times New Roman" w:hAnsi="Times New Roman" w:cs="Times New Roman"/>
      <w:b/>
      <w:bCs/>
      <w:sz w:val="24"/>
      <w:szCs w:val="24"/>
    </w:rPr>
  </w:style>
  <w:style w:type="character" w:customStyle="1" w:styleId="ListLabel314">
    <w:name w:val="ListLabel 314"/>
    <w:qFormat/>
    <w:rPr>
      <w:rFonts w:ascii="Times New Roman" w:hAnsi="Times New Roman" w:cs="Times New Roman"/>
      <w:b/>
      <w:sz w:val="24"/>
    </w:rPr>
  </w:style>
  <w:style w:type="character" w:customStyle="1" w:styleId="ListLabel315">
    <w:name w:val="ListLabel 315"/>
    <w:qFormat/>
    <w:rPr>
      <w:rFonts w:cs="OpenSymbol"/>
    </w:rPr>
  </w:style>
  <w:style w:type="character" w:customStyle="1" w:styleId="ListLabel316">
    <w:name w:val="ListLabel 316"/>
    <w:qFormat/>
    <w:rPr>
      <w:rFonts w:ascii="Times New Roman" w:eastAsia="Times New Roman" w:hAnsi="Times New Roman" w:cs="Times New Roman"/>
      <w:sz w:val="24"/>
    </w:rPr>
  </w:style>
  <w:style w:type="character" w:customStyle="1" w:styleId="ListLabel317">
    <w:name w:val="ListLabel 317"/>
    <w:qFormat/>
    <w:rPr>
      <w:rFonts w:cs="Courier New"/>
    </w:rPr>
  </w:style>
  <w:style w:type="character" w:customStyle="1" w:styleId="ListLabel318">
    <w:name w:val="ListLabel 318"/>
    <w:qFormat/>
    <w:rPr>
      <w:rFonts w:ascii="Times New Roman" w:hAnsi="Times New Roman"/>
      <w:b/>
      <w:bCs/>
      <w:sz w:val="24"/>
      <w:szCs w:val="24"/>
    </w:rPr>
  </w:style>
  <w:style w:type="character" w:customStyle="1" w:styleId="ListLabel319">
    <w:name w:val="ListLabel 319"/>
    <w:qFormat/>
    <w:rPr>
      <w:rFonts w:ascii="Arial" w:hAnsi="Arial" w:cs="Symbol"/>
      <w:sz w:val="24"/>
    </w:rPr>
  </w:style>
  <w:style w:type="character" w:customStyle="1" w:styleId="ListLabel320">
    <w:name w:val="ListLabel 320"/>
    <w:qFormat/>
    <w:rPr>
      <w:rFonts w:ascii="Times New Roman" w:hAnsi="Times New Roman" w:cs="Symbol"/>
      <w:b/>
      <w:sz w:val="24"/>
    </w:rPr>
  </w:style>
  <w:style w:type="character" w:customStyle="1" w:styleId="ListLabel321">
    <w:name w:val="ListLabel 321"/>
    <w:qFormat/>
    <w:rPr>
      <w:rFonts w:ascii="Times New Roman" w:hAnsi="Times New Roman"/>
      <w:b/>
      <w:sz w:val="24"/>
    </w:rPr>
  </w:style>
  <w:style w:type="character" w:customStyle="1" w:styleId="ListLabel322">
    <w:name w:val="ListLabel 322"/>
    <w:qFormat/>
    <w:rPr>
      <w:rFonts w:cs="OpenSymbol"/>
    </w:rPr>
  </w:style>
  <w:style w:type="character" w:customStyle="1" w:styleId="ListLabel323">
    <w:name w:val="ListLabel 323"/>
    <w:qFormat/>
    <w:rPr>
      <w:rFonts w:ascii="Times New Roman" w:hAnsi="Times New Roman" w:cs="Times New Roman"/>
      <w:sz w:val="24"/>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Times New Roman" w:hAnsi="Times New Roman"/>
      <w:b/>
      <w:bCs/>
      <w:sz w:val="24"/>
      <w:szCs w:val="24"/>
    </w:rPr>
  </w:style>
  <w:style w:type="character" w:customStyle="1" w:styleId="ListLabel327">
    <w:name w:val="ListLabel 327"/>
    <w:qFormat/>
    <w:rPr>
      <w:rFonts w:ascii="Arial" w:hAnsi="Arial" w:cs="Symbol"/>
      <w:sz w:val="24"/>
    </w:rPr>
  </w:style>
  <w:style w:type="character" w:customStyle="1" w:styleId="ListLabel328">
    <w:name w:val="ListLabel 328"/>
    <w:qFormat/>
    <w:rPr>
      <w:rFonts w:ascii="Times New Roman" w:hAnsi="Times New Roman" w:cs="Symbol"/>
      <w:b/>
      <w:sz w:val="24"/>
    </w:rPr>
  </w:style>
  <w:style w:type="character" w:customStyle="1" w:styleId="ListLabel329">
    <w:name w:val="ListLabel 329"/>
    <w:qFormat/>
    <w:rPr>
      <w:rFonts w:ascii="Times New Roman" w:hAnsi="Times New Roman"/>
      <w:b/>
      <w:sz w:val="24"/>
    </w:rPr>
  </w:style>
  <w:style w:type="character" w:customStyle="1" w:styleId="ListLabel330">
    <w:name w:val="ListLabel 330"/>
    <w:qFormat/>
    <w:rPr>
      <w:rFonts w:cs="OpenSymbol"/>
    </w:rPr>
  </w:style>
  <w:style w:type="character" w:customStyle="1" w:styleId="ListLabel331">
    <w:name w:val="ListLabel 331"/>
    <w:qFormat/>
    <w:rPr>
      <w:rFonts w:ascii="Times New Roman" w:hAnsi="Times New Roman" w:cs="Times New Roman"/>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ascii="Times New Roman" w:hAnsi="Times New Roman"/>
      <w:b/>
      <w:bCs/>
      <w:sz w:val="24"/>
      <w:szCs w:val="24"/>
    </w:rPr>
  </w:style>
  <w:style w:type="character" w:customStyle="1" w:styleId="ListLabel335">
    <w:name w:val="ListLabel 335"/>
    <w:qFormat/>
    <w:rPr>
      <w:rFonts w:ascii="Times New Roman" w:hAnsi="Times New Roman" w:cs="Symbol"/>
      <w:sz w:val="24"/>
    </w:rPr>
  </w:style>
  <w:style w:type="character" w:customStyle="1" w:styleId="ListLabel336">
    <w:name w:val="ListLabel 336"/>
    <w:qFormat/>
    <w:rPr>
      <w:rFonts w:ascii="Times New Roman" w:hAnsi="Times New Roman" w:cs="Symbol"/>
      <w:b/>
      <w:sz w:val="24"/>
    </w:rPr>
  </w:style>
  <w:style w:type="character" w:customStyle="1" w:styleId="ListLabel337">
    <w:name w:val="ListLabel 337"/>
    <w:qFormat/>
    <w:rPr>
      <w:rFonts w:ascii="Times New Roman" w:hAnsi="Times New Roman"/>
      <w:b/>
      <w:sz w:val="24"/>
    </w:rPr>
  </w:style>
  <w:style w:type="character" w:customStyle="1" w:styleId="ListLabel338">
    <w:name w:val="ListLabel 338"/>
    <w:qFormat/>
    <w:rPr>
      <w:rFonts w:cs="OpenSymbol"/>
    </w:rPr>
  </w:style>
  <w:style w:type="character" w:customStyle="1" w:styleId="ListLabel339">
    <w:name w:val="ListLabel 339"/>
    <w:qFormat/>
    <w:rPr>
      <w:rFonts w:cs="Times New Roman"/>
      <w:sz w:val="24"/>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paragraph" w:customStyle="1" w:styleId="Heading">
    <w:name w:val="Heading"/>
    <w:basedOn w:val="Normal"/>
    <w:next w:val="TextBody"/>
    <w:qFormat/>
    <w:pPr>
      <w:widowControl w:val="0"/>
      <w:spacing w:after="240" w:line="240" w:lineRule="auto"/>
      <w:jc w:val="center"/>
    </w:pPr>
    <w:rPr>
      <w:rFonts w:ascii="Arial Black" w:hAnsi="Arial Black" w:cs="Arial Black"/>
      <w:sz w:val="48"/>
      <w:szCs w:val="48"/>
      <w:lang w:val="en-US"/>
    </w:rPr>
  </w:style>
  <w:style w:type="paragraph" w:customStyle="1" w:styleId="TextBody">
    <w:name w:val="Text Body"/>
    <w:basedOn w:val="Normal"/>
    <w:pPr>
      <w:spacing w:after="140" w:line="288" w:lineRule="auto"/>
    </w:pPr>
    <w:rPr>
      <w:rFonts w:ascii="Times New Roman" w:hAnsi="Times New Roman" w:cs="Times New Roman"/>
      <w:sz w:val="28"/>
      <w:szCs w:val="28"/>
    </w:rPr>
  </w:style>
  <w:style w:type="paragraph" w:styleId="List">
    <w:name w:val="List"/>
    <w:basedOn w:val="TextBody"/>
    <w:rPr>
      <w:rFonts w:cs="Mangal"/>
    </w:rPr>
  </w:style>
  <w:style w:type="paragraph" w:styleId="Caption">
    <w:name w:val="caption"/>
    <w:basedOn w:val="Normal"/>
    <w:qFormat/>
    <w:pPr>
      <w:suppressLineNumbers/>
      <w:spacing w:before="120" w:after="120" w:line="240" w:lineRule="auto"/>
    </w:pPr>
    <w:rPr>
      <w:rFonts w:ascii="Times New Roman" w:hAnsi="Times New Roman" w:cs="Mangal"/>
      <w:i/>
      <w:iCs/>
      <w:sz w:val="24"/>
      <w:szCs w:val="24"/>
    </w:rPr>
  </w:style>
  <w:style w:type="paragraph" w:customStyle="1" w:styleId="Index">
    <w:name w:val="Index"/>
    <w:basedOn w:val="Normal"/>
    <w:qFormat/>
    <w:pPr>
      <w:suppressLineNumbers/>
      <w:spacing w:after="0" w:line="240" w:lineRule="auto"/>
    </w:pPr>
    <w:rPr>
      <w:rFonts w:ascii="Times New Roman" w:hAnsi="Times New Roman" w:cs="Mangal"/>
      <w:sz w:val="28"/>
      <w:szCs w:val="28"/>
    </w:rPr>
  </w:style>
  <w:style w:type="paragraph" w:styleId="Header">
    <w:name w:val="header"/>
    <w:basedOn w:val="Normal"/>
    <w:pPr>
      <w:spacing w:after="0" w:line="240" w:lineRule="auto"/>
    </w:pPr>
    <w:rPr>
      <w:rFonts w:ascii="Times New Roman" w:hAnsi="Times New Roman" w:cs="Times New Roman"/>
      <w:sz w:val="28"/>
      <w:szCs w:val="28"/>
    </w:rPr>
  </w:style>
  <w:style w:type="paragraph" w:styleId="Footer">
    <w:name w:val="footer"/>
    <w:basedOn w:val="Normal"/>
    <w:pPr>
      <w:spacing w:after="0" w:line="240" w:lineRule="auto"/>
    </w:pPr>
    <w:rPr>
      <w:rFonts w:ascii="Times New Roman" w:hAnsi="Times New Roman" w:cs="Times New Roman"/>
      <w:sz w:val="28"/>
      <w:szCs w:val="28"/>
    </w:rPr>
  </w:style>
  <w:style w:type="paragraph" w:customStyle="1" w:styleId="TableText">
    <w:name w:val="Table Text"/>
    <w:basedOn w:val="Normal"/>
    <w:qFormat/>
    <w:pPr>
      <w:widowControl w:val="0"/>
      <w:spacing w:after="0" w:line="240" w:lineRule="auto"/>
      <w:jc w:val="right"/>
    </w:pPr>
    <w:rPr>
      <w:rFonts w:ascii="Times New Roman" w:hAnsi="Times New Roman" w:cs="Times New Roman"/>
      <w:sz w:val="24"/>
      <w:szCs w:val="24"/>
      <w:lang w:val="en-US"/>
    </w:rPr>
  </w:style>
  <w:style w:type="paragraph" w:customStyle="1" w:styleId="DefaultText">
    <w:name w:val="Default Text"/>
    <w:basedOn w:val="Normal"/>
    <w:qFormat/>
    <w:pPr>
      <w:spacing w:after="0" w:line="240" w:lineRule="auto"/>
    </w:pPr>
    <w:rPr>
      <w:rFonts w:ascii="Times New Roman" w:hAnsi="Times New Roman" w:cs="Times New Roman"/>
      <w:sz w:val="24"/>
      <w:szCs w:val="24"/>
      <w:lang w:val="en-US"/>
    </w:rPr>
  </w:style>
  <w:style w:type="paragraph" w:styleId="NormalWeb">
    <w:name w:val="Normal (Web)"/>
    <w:basedOn w:val="Normal"/>
    <w:qFormat/>
    <w:pPr>
      <w:spacing w:before="280" w:after="280" w:line="240" w:lineRule="auto"/>
    </w:pPr>
    <w:rPr>
      <w:rFonts w:ascii="Times New Roman" w:hAnsi="Times New Roman" w:cs="Times New Roman"/>
      <w:color w:val="000000"/>
      <w:sz w:val="24"/>
      <w:szCs w:val="24"/>
      <w:lang w:val="en-US"/>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qFormat/>
    <w:pPr>
      <w:spacing w:after="0" w:line="240" w:lineRule="auto"/>
    </w:pPr>
    <w:rPr>
      <w:rFonts w:ascii="Tahoma" w:hAnsi="Tahoma" w:cs="Tahoma"/>
      <w:sz w:val="24"/>
      <w:szCs w:val="24"/>
      <w:lang w:val="pl-PL"/>
    </w:rPr>
  </w:style>
  <w:style w:type="paragraph" w:customStyle="1" w:styleId="CaracterCaracter">
    <w:name w:val="Caracter Caracter"/>
    <w:basedOn w:val="Normal"/>
    <w:qFormat/>
    <w:pPr>
      <w:suppressAutoHyphens w:val="0"/>
      <w:spacing w:after="0" w:line="240" w:lineRule="auto"/>
    </w:pPr>
    <w:rPr>
      <w:rFonts w:ascii="Times New Roman" w:hAnsi="Times New Roman" w:cs="Times New Roman"/>
      <w:sz w:val="24"/>
      <w:szCs w:val="24"/>
      <w:lang w:val="pl-PL"/>
    </w:rPr>
  </w:style>
  <w:style w:type="paragraph" w:customStyle="1" w:styleId="DefaultText1">
    <w:name w:val="Default Text:1"/>
    <w:basedOn w:val="Normal"/>
    <w:qFormat/>
    <w:pPr>
      <w:spacing w:after="0" w:line="240" w:lineRule="auto"/>
      <w:textAlignment w:val="baseline"/>
    </w:pPr>
    <w:rPr>
      <w:rFonts w:ascii="Times New Roman" w:hAnsi="Times New Roman" w:cs="Times New Roman"/>
      <w:sz w:val="24"/>
      <w:szCs w:val="20"/>
      <w:lang w:val="en-US"/>
    </w:rPr>
  </w:style>
  <w:style w:type="paragraph" w:customStyle="1" w:styleId="TableContents">
    <w:name w:val="Table Contents"/>
    <w:basedOn w:val="Normal"/>
    <w:qFormat/>
    <w:pPr>
      <w:suppressLineNumbers/>
      <w:spacing w:after="0" w:line="240" w:lineRule="auto"/>
    </w:pPr>
    <w:rPr>
      <w:rFonts w:ascii="Times New Roman" w:hAnsi="Times New Roman" w:cs="Times New Roman"/>
      <w:sz w:val="28"/>
      <w:szCs w:val="28"/>
    </w:rPr>
  </w:style>
  <w:style w:type="paragraph" w:customStyle="1" w:styleId="TableHeading">
    <w:name w:val="Table Heading"/>
    <w:basedOn w:val="TableContents"/>
    <w:qFormat/>
    <w:pPr>
      <w:jc w:val="center"/>
    </w:pPr>
    <w:rPr>
      <w:b/>
      <w:bCs/>
    </w:rPr>
  </w:style>
  <w:style w:type="paragraph" w:styleId="ListParagraph">
    <w:name w:val="List Paragraph"/>
    <w:basedOn w:val="Normal"/>
    <w:qFormat/>
    <w:pPr>
      <w:ind w:left="720"/>
    </w:pPr>
    <w:rPr>
      <w:rFonts w:cs="Arial"/>
    </w:rPr>
  </w:style>
  <w:style w:type="paragraph" w:customStyle="1" w:styleId="BalloonText1">
    <w:name w:val="Balloon Text1"/>
    <w:basedOn w:val="Normal"/>
    <w:qFormat/>
    <w:pPr>
      <w:spacing w:after="0" w:line="240" w:lineRule="auto"/>
    </w:pPr>
    <w:rPr>
      <w:rFonts w:ascii="Segoe UI" w:hAnsi="Segoe UI" w:cs="Segoe UI"/>
      <w:sz w:val="18"/>
      <w:szCs w:val="18"/>
    </w:rPr>
  </w:style>
  <w:style w:type="paragraph" w:customStyle="1" w:styleId="CaracterCaracter2">
    <w:name w:val="Caracter Caracter2"/>
    <w:basedOn w:val="Normal"/>
    <w:qFormat/>
    <w:pPr>
      <w:spacing w:after="0" w:line="240" w:lineRule="auto"/>
    </w:pPr>
    <w:rPr>
      <w:rFonts w:ascii="Times New Roman" w:hAnsi="Times New Roman" w:cs="Times New Roman"/>
      <w:sz w:val="24"/>
      <w:szCs w:val="24"/>
      <w:lang w:val="pl-PL"/>
    </w:rPr>
  </w:style>
  <w:style w:type="paragraph" w:customStyle="1" w:styleId="LO-Normal">
    <w:name w:val="LO-Normal"/>
    <w:qFormat/>
    <w:pPr>
      <w:widowControl w:val="0"/>
      <w:suppressAutoHyphens/>
    </w:pPr>
    <w:rPr>
      <w:rFonts w:ascii="Liberation Serif" w:eastAsia="SimSun" w:hAnsi="Liberation Serif" w:cs="Mangal"/>
      <w:color w:val="00000A"/>
      <w:sz w:val="24"/>
      <w:szCs w:val="24"/>
      <w:lang w:val="ro-RO" w:eastAsia="zh-CN" w:bidi="hi-IN"/>
    </w:rPr>
  </w:style>
  <w:style w:type="paragraph" w:customStyle="1" w:styleId="FrameContents">
    <w:name w:val="Frame Contents"/>
    <w:basedOn w:val="Normal"/>
    <w:qFormat/>
    <w:pPr>
      <w:spacing w:after="0" w:line="240" w:lineRule="auto"/>
    </w:pPr>
    <w:rPr>
      <w:rFonts w:ascii="Times New Roman" w:hAnsi="Times New Roman" w:cs="Times New Roman"/>
      <w:sz w:val="28"/>
      <w:szCs w:val="28"/>
    </w:rPr>
  </w:style>
  <w:style w:type="paragraph" w:customStyle="1" w:styleId="CommentText1">
    <w:name w:val="Comment Text1"/>
    <w:basedOn w:val="Normal"/>
    <w:qFormat/>
    <w:pPr>
      <w:spacing w:after="0" w:line="240" w:lineRule="auto"/>
    </w:pPr>
    <w:rPr>
      <w:rFonts w:ascii="Times New Roman" w:hAnsi="Times New Roman" w:cs="Times New Roman"/>
      <w:sz w:val="20"/>
      <w:szCs w:val="20"/>
    </w:rPr>
  </w:style>
  <w:style w:type="paragraph" w:customStyle="1" w:styleId="CommentSubject1">
    <w:name w:val="Comment Subject1"/>
    <w:basedOn w:val="CommentText1"/>
    <w:qFormat/>
    <w:rPr>
      <w:b/>
      <w:bCs/>
    </w:rPr>
  </w:style>
  <w:style w:type="paragraph" w:customStyle="1" w:styleId="c01pointnumerotealtn">
    <w:name w:val="c01pointnumerotealtn"/>
    <w:basedOn w:val="Normal"/>
    <w:qFormat/>
    <w:pPr>
      <w:spacing w:before="280" w:after="240" w:line="240" w:lineRule="auto"/>
      <w:ind w:left="567" w:hanging="539"/>
      <w:jc w:val="both"/>
    </w:pPr>
    <w:rPr>
      <w:rFonts w:ascii="Times New Roman" w:hAnsi="Times New Roman" w:cs="Times New Roman"/>
      <w:sz w:val="28"/>
      <w:szCs w:val="28"/>
    </w:rPr>
  </w:style>
  <w:style w:type="paragraph" w:customStyle="1" w:styleId="CaracterCaracter1CharCharCaracterCaracter">
    <w:name w:val="Caracter Caracter1 Char Char Caracter Caracter"/>
    <w:basedOn w:val="Normal"/>
    <w:qFormat/>
    <w:pPr>
      <w:spacing w:after="0" w:line="240" w:lineRule="auto"/>
    </w:pPr>
    <w:rPr>
      <w:rFonts w:ascii="Times New Roman" w:hAnsi="Times New Roman" w:cs="Times New Roman"/>
      <w:sz w:val="28"/>
      <w:szCs w:val="28"/>
      <w:lang w:val="pl-PL"/>
    </w:rPr>
  </w:style>
  <w:style w:type="paragraph" w:customStyle="1" w:styleId="CM1">
    <w:name w:val="CM1"/>
    <w:basedOn w:val="Normal"/>
    <w:next w:val="Normal"/>
    <w:qFormat/>
    <w:pPr>
      <w:spacing w:after="0" w:line="240" w:lineRule="auto"/>
    </w:pPr>
    <w:rPr>
      <w:rFonts w:ascii="EUAlbertina" w:hAnsi="EUAlbertina" w:cs="EUAlbertina"/>
      <w:sz w:val="28"/>
      <w:szCs w:val="28"/>
      <w:lang w:val="en-US"/>
    </w:rPr>
  </w:style>
  <w:style w:type="paragraph" w:customStyle="1" w:styleId="CaracterCaracterCharCharCarCharCharChar">
    <w:name w:val="Caracter Caracter Char Char Car Char Char Char"/>
    <w:basedOn w:val="Normal"/>
    <w:qFormat/>
    <w:pPr>
      <w:spacing w:after="0" w:line="240" w:lineRule="auto"/>
    </w:pPr>
    <w:rPr>
      <w:rFonts w:ascii="Tahoma" w:hAnsi="Tahoma" w:cs="Tahoma"/>
      <w:sz w:val="28"/>
      <w:szCs w:val="28"/>
      <w:lang w:val="pl-PL"/>
    </w:rPr>
  </w:style>
  <w:style w:type="paragraph" w:customStyle="1" w:styleId="CaracterCaracter1">
    <w:name w:val="Caracter Caracter1"/>
    <w:basedOn w:val="Normal"/>
    <w:qFormat/>
    <w:pPr>
      <w:spacing w:after="0" w:line="240" w:lineRule="auto"/>
    </w:pPr>
    <w:rPr>
      <w:rFonts w:ascii="Times New Roman" w:hAnsi="Times New Roman" w:cs="Times New Roman"/>
      <w:sz w:val="28"/>
      <w:szCs w:val="28"/>
      <w:lang w:val="pl-PL"/>
    </w:rPr>
  </w:style>
  <w:style w:type="paragraph" w:customStyle="1" w:styleId="CaracterCaracterCharCharCaracterCaracterCharCharCaracterCaracterCaracterCaracterCaracterCharCharCaracterCaracter1">
    <w:name w:val="Caracter Caracter Char Char Caracter Caracter Char Char Caracter Caracter Caracter Caracter Caracter Char Char Caracter Caracter1"/>
    <w:basedOn w:val="Normal"/>
    <w:qFormat/>
    <w:pPr>
      <w:spacing w:after="0" w:line="240" w:lineRule="auto"/>
    </w:pPr>
    <w:rPr>
      <w:rFonts w:ascii="Tahoma" w:hAnsi="Tahoma" w:cs="Tahoma"/>
      <w:sz w:val="28"/>
      <w:szCs w:val="28"/>
      <w:lang w:val="pl-PL"/>
    </w:rPr>
  </w:style>
  <w:style w:type="paragraph" w:customStyle="1" w:styleId="yiv474558529msonormal">
    <w:name w:val="yiv474558529msonormal"/>
    <w:basedOn w:val="Normal"/>
    <w:qFormat/>
    <w:pPr>
      <w:spacing w:before="280" w:after="280" w:line="240" w:lineRule="auto"/>
    </w:pPr>
    <w:rPr>
      <w:rFonts w:ascii="Times New Roman" w:hAnsi="Times New Roman" w:cs="Times New Roman"/>
      <w:sz w:val="28"/>
      <w:szCs w:val="28"/>
      <w:lang w:val="en-US"/>
    </w:rPr>
  </w:style>
  <w:style w:type="paragraph" w:customStyle="1" w:styleId="Style5">
    <w:name w:val="Style5"/>
    <w:basedOn w:val="Normal"/>
    <w:qFormat/>
    <w:pPr>
      <w:widowControl w:val="0"/>
      <w:spacing w:after="0" w:line="240" w:lineRule="auto"/>
    </w:pPr>
    <w:rPr>
      <w:rFonts w:ascii="Times New Roman" w:hAnsi="Times New Roman" w:cs="Times New Roman"/>
      <w:sz w:val="28"/>
      <w:szCs w:val="28"/>
    </w:rPr>
  </w:style>
  <w:style w:type="paragraph" w:customStyle="1" w:styleId="CaracterCaracter11">
    <w:name w:val="Caracter Caracter11"/>
    <w:basedOn w:val="Normal"/>
    <w:qFormat/>
    <w:pPr>
      <w:spacing w:after="0" w:line="240" w:lineRule="auto"/>
    </w:pPr>
    <w:rPr>
      <w:rFonts w:ascii="Times New Roman" w:hAnsi="Times New Roman" w:cs="Times New Roman"/>
      <w:sz w:val="28"/>
      <w:szCs w:val="28"/>
      <w:lang w:val="pl-PL"/>
    </w:rPr>
  </w:style>
  <w:style w:type="paragraph" w:customStyle="1" w:styleId="NormalBlack">
    <w:name w:val="Normal + Black"/>
    <w:basedOn w:val="Normal"/>
    <w:qFormat/>
    <w:pPr>
      <w:spacing w:after="0" w:line="240" w:lineRule="auto"/>
    </w:pPr>
    <w:rPr>
      <w:rFonts w:ascii="Times New Roman" w:hAnsi="Times New Roman" w:cs="Times New Roman"/>
      <w:iCs/>
      <w:sz w:val="28"/>
      <w:szCs w:val="28"/>
    </w:rPr>
  </w:style>
  <w:style w:type="paragraph" w:customStyle="1" w:styleId="CaracterCaracterCharCharCaracterCaracterCharCharCaracterCaracterCaracterCaracterCaracterCharCharCaracterCaracter2">
    <w:name w:val="Caracter Caracter Char Char Caracter Caracter Char Char Caracter Caracter Caracter Caracter Caracter Char Char Caracter Caracter2"/>
    <w:basedOn w:val="Normal"/>
    <w:qFormat/>
    <w:pPr>
      <w:spacing w:after="0" w:line="240" w:lineRule="auto"/>
    </w:pPr>
    <w:rPr>
      <w:rFonts w:ascii="Tahoma" w:hAnsi="Tahoma" w:cs="Tahoma"/>
      <w:sz w:val="28"/>
      <w:szCs w:val="28"/>
      <w:lang w:val="pl-PL"/>
    </w:rPr>
  </w:style>
  <w:style w:type="paragraph" w:customStyle="1" w:styleId="CharCharCaracterCaracter">
    <w:name w:val="Char Char Caracter Caracter"/>
    <w:basedOn w:val="Normal"/>
    <w:qFormat/>
    <w:pPr>
      <w:spacing w:after="0" w:line="240" w:lineRule="auto"/>
    </w:pPr>
    <w:rPr>
      <w:rFonts w:ascii="Times New Roman" w:hAnsi="Times New Roman" w:cs="Times New Roman"/>
      <w:sz w:val="28"/>
      <w:szCs w:val="28"/>
      <w:lang w:val="pl-PL"/>
    </w:rPr>
  </w:style>
  <w:style w:type="paragraph" w:customStyle="1" w:styleId="CM4">
    <w:name w:val="CM4"/>
    <w:basedOn w:val="Normal"/>
    <w:next w:val="Normal"/>
    <w:qFormat/>
    <w:pPr>
      <w:spacing w:after="0" w:line="240" w:lineRule="auto"/>
    </w:pPr>
    <w:rPr>
      <w:rFonts w:ascii="EUAlbertina" w:hAnsi="EUAlbertina" w:cs="EUAlbertina"/>
      <w:sz w:val="28"/>
      <w:szCs w:val="28"/>
      <w:lang w:val="en-US"/>
    </w:rPr>
  </w:style>
  <w:style w:type="paragraph" w:customStyle="1" w:styleId="Caracter">
    <w:name w:val="Caracter"/>
    <w:basedOn w:val="Normal"/>
    <w:qFormat/>
    <w:pPr>
      <w:spacing w:after="0" w:line="240" w:lineRule="auto"/>
    </w:pPr>
    <w:rPr>
      <w:rFonts w:ascii="Times New Roman" w:hAnsi="Times New Roman" w:cs="Times New Roman"/>
      <w:sz w:val="28"/>
      <w:szCs w:val="28"/>
      <w:lang w:val="pl-PL"/>
    </w:rPr>
  </w:style>
  <w:style w:type="paragraph" w:customStyle="1" w:styleId="western">
    <w:name w:val="western"/>
    <w:basedOn w:val="Normal"/>
    <w:qFormat/>
    <w:pPr>
      <w:spacing w:before="280" w:after="142" w:line="288" w:lineRule="auto"/>
    </w:pPr>
    <w:rPr>
      <w:rFonts w:ascii="Times New Roman" w:hAnsi="Times New Roman" w:cs="Times New Roman"/>
      <w:color w:val="000000"/>
      <w:sz w:val="24"/>
      <w:szCs w:val="24"/>
    </w:rPr>
  </w:style>
  <w:style w:type="paragraph" w:customStyle="1" w:styleId="Frspaiere1">
    <w:name w:val="Fără spațiere1"/>
    <w:qFormat/>
    <w:pPr>
      <w:suppressAutoHyphens/>
    </w:pPr>
    <w:rPr>
      <w:color w:val="00000A"/>
      <w:sz w:val="24"/>
      <w:szCs w:val="24"/>
      <w:lang w:val="ro-RO" w:eastAsia="zh-CN"/>
    </w:rPr>
  </w:style>
  <w:style w:type="paragraph" w:customStyle="1" w:styleId="Normal1">
    <w:name w:val="Normal1"/>
    <w:qFormat/>
    <w:pPr>
      <w:widowControl w:val="0"/>
      <w:suppressAutoHyphens/>
      <w:textAlignment w:val="baseline"/>
    </w:pPr>
    <w:rPr>
      <w:color w:val="00000A"/>
      <w:sz w:val="22"/>
      <w:lang w:eastAsia="zh-CN"/>
    </w:rPr>
  </w:style>
  <w:style w:type="paragraph" w:customStyle="1" w:styleId="ManualConsidrant">
    <w:name w:val="Manual Considérant"/>
    <w:basedOn w:val="Normal"/>
    <w:qFormat/>
    <w:pPr>
      <w:spacing w:after="0" w:line="240" w:lineRule="auto"/>
      <w:ind w:left="850" w:hanging="850"/>
    </w:pPr>
    <w:rPr>
      <w:rFonts w:ascii="Times New Roman" w:hAnsi="Times New Roman" w:cs="Times New Roman"/>
      <w:sz w:val="24"/>
      <w:szCs w:val="24"/>
      <w:lang w:val="en-GB"/>
    </w:rPr>
  </w:style>
  <w:style w:type="paragraph" w:customStyle="1" w:styleId="Listparagraf1">
    <w:name w:val="Listă paragraf1"/>
    <w:basedOn w:val="Normal"/>
    <w:qFormat/>
    <w:pPr>
      <w:ind w:left="720"/>
    </w:pPr>
    <w:rPr>
      <w:rFonts w:cs="Arial"/>
    </w:rPr>
  </w:style>
  <w:style w:type="paragraph" w:customStyle="1" w:styleId="Default">
    <w:name w:val="Default"/>
    <w:qFormat/>
    <w:pPr>
      <w:suppressAutoHyphens/>
    </w:pPr>
    <w:rPr>
      <w:rFonts w:ascii="Myriad Pro" w:hAnsi="Myriad Pro" w:cs="Myriad Pro"/>
      <w:color w:val="000000"/>
      <w:sz w:val="24"/>
      <w:szCs w:val="24"/>
      <w:lang w:val="ro-RO" w:eastAsia="zh-CN"/>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link w:val="CommentTextChar2"/>
    <w:uiPriority w:val="99"/>
    <w:semiHidden/>
    <w:unhideWhenUsed/>
    <w:qFormat/>
    <w:rsid w:val="00EB03D2"/>
    <w:pPr>
      <w:spacing w:line="240" w:lineRule="auto"/>
    </w:pPr>
    <w:rPr>
      <w:sz w:val="20"/>
      <w:szCs w:val="20"/>
    </w:rPr>
  </w:style>
  <w:style w:type="paragraph" w:styleId="CommentSubject">
    <w:name w:val="annotation subject"/>
    <w:basedOn w:val="CommentText"/>
    <w:link w:val="CommentSubjectChar2"/>
    <w:uiPriority w:val="99"/>
    <w:semiHidden/>
    <w:unhideWhenUsed/>
    <w:qFormat/>
    <w:rsid w:val="00EB0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7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10626</Words>
  <Characters>61631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Company>
  <LinksUpToDate>false</LinksUpToDate>
  <CharactersWithSpaces>72113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Ioana</dc:creator>
  <cp:lastModifiedBy>CRISTIAN-NICOLAE MARIN</cp:lastModifiedBy>
  <cp:revision>2</cp:revision>
  <cp:lastPrinted>2018-03-27T07:03:00Z</cp:lastPrinted>
  <dcterms:created xsi:type="dcterms:W3CDTF">2018-03-27T09:35:00Z</dcterms:created>
  <dcterms:modified xsi:type="dcterms:W3CDTF">2018-03-27T09:35:00Z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