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2A" w:rsidRPr="004A3892" w:rsidRDefault="004C092A" w:rsidP="00545160">
      <w:pPr>
        <w:ind w:right="-22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4A3892">
        <w:rPr>
          <w:rFonts w:ascii="Trebuchet MS" w:hAnsi="Trebuchet MS" w:cs="Arial"/>
          <w:b/>
          <w:color w:val="000000" w:themeColor="text1"/>
          <w:sz w:val="24"/>
          <w:szCs w:val="24"/>
        </w:rPr>
        <w:t xml:space="preserve">MINISTERUL FINANȚELOR </w:t>
      </w:r>
    </w:p>
    <w:p w:rsidR="004C092A" w:rsidRPr="004A3892" w:rsidRDefault="004C092A" w:rsidP="00545160">
      <w:pPr>
        <w:ind w:right="-22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4C092A" w:rsidRPr="004A3892" w:rsidRDefault="004C092A" w:rsidP="00545160">
      <w:pPr>
        <w:ind w:right="-22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4C092A" w:rsidRPr="00A93177" w:rsidRDefault="004C092A" w:rsidP="00545160">
      <w:pPr>
        <w:ind w:right="-22"/>
        <w:jc w:val="center"/>
        <w:rPr>
          <w:rFonts w:ascii="Trebuchet MS" w:hAnsi="Trebuchet MS" w:cs="Arial"/>
          <w:b/>
          <w:sz w:val="24"/>
          <w:szCs w:val="24"/>
        </w:rPr>
      </w:pPr>
      <w:r w:rsidRPr="000C3C52">
        <w:rPr>
          <w:rFonts w:ascii="Trebuchet MS" w:hAnsi="Trebuchet MS" w:cs="Arial"/>
          <w:b/>
          <w:color w:val="000000" w:themeColor="text1"/>
          <w:sz w:val="24"/>
          <w:szCs w:val="24"/>
        </w:rPr>
        <w:t>Ordin</w:t>
      </w:r>
    </w:p>
    <w:p w:rsidR="004439AA" w:rsidRPr="00A93177" w:rsidRDefault="004C092A" w:rsidP="00545160">
      <w:pPr>
        <w:ind w:right="-22"/>
        <w:jc w:val="center"/>
        <w:rPr>
          <w:rFonts w:ascii="Trebuchet MS" w:hAnsi="Trebuchet MS" w:cs="Arial"/>
          <w:b/>
          <w:sz w:val="24"/>
          <w:szCs w:val="24"/>
        </w:rPr>
      </w:pPr>
      <w:r w:rsidRPr="00A93177">
        <w:rPr>
          <w:rFonts w:ascii="Trebuchet MS" w:hAnsi="Trebuchet MS" w:cs="Arial"/>
          <w:b/>
          <w:sz w:val="24"/>
          <w:szCs w:val="24"/>
        </w:rPr>
        <w:t xml:space="preserve">pentru </w:t>
      </w:r>
      <w:r w:rsidR="004439AA" w:rsidRPr="00A93177">
        <w:rPr>
          <w:rFonts w:ascii="Trebuchet MS" w:hAnsi="Trebuchet MS" w:cs="Arial"/>
          <w:b/>
          <w:sz w:val="24"/>
          <w:szCs w:val="24"/>
        </w:rPr>
        <w:t>modificarea și completarea reglementărilor</w:t>
      </w:r>
      <w:r w:rsidRPr="00A93177">
        <w:rPr>
          <w:rFonts w:ascii="Trebuchet MS" w:hAnsi="Trebuchet MS" w:cs="Arial"/>
          <w:b/>
          <w:sz w:val="24"/>
          <w:szCs w:val="24"/>
        </w:rPr>
        <w:t xml:space="preserve"> contabile</w:t>
      </w:r>
      <w:r w:rsidR="004439AA" w:rsidRPr="00A93177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4C092A" w:rsidRPr="00A93177" w:rsidRDefault="004439AA" w:rsidP="00545160">
      <w:pPr>
        <w:ind w:right="-22"/>
        <w:jc w:val="center"/>
        <w:rPr>
          <w:rFonts w:ascii="Trebuchet MS" w:hAnsi="Trebuchet MS" w:cs="Arial"/>
          <w:b/>
          <w:sz w:val="24"/>
          <w:szCs w:val="24"/>
        </w:rPr>
      </w:pPr>
      <w:r w:rsidRPr="00A93177">
        <w:rPr>
          <w:rFonts w:ascii="Trebuchet MS" w:hAnsi="Trebuchet MS" w:cs="Arial"/>
          <w:b/>
          <w:sz w:val="24"/>
          <w:szCs w:val="24"/>
        </w:rPr>
        <w:t>aplicabile operatorilor economici</w:t>
      </w:r>
    </w:p>
    <w:p w:rsidR="004C092A" w:rsidRPr="00A93177" w:rsidRDefault="004C092A" w:rsidP="00545160">
      <w:pPr>
        <w:ind w:right="-22"/>
        <w:jc w:val="center"/>
        <w:rPr>
          <w:rFonts w:ascii="Trebuchet MS" w:hAnsi="Trebuchet MS" w:cs="Arial"/>
          <w:b/>
          <w:sz w:val="24"/>
          <w:szCs w:val="24"/>
        </w:rPr>
      </w:pPr>
    </w:p>
    <w:p w:rsidR="004C092A" w:rsidRPr="00A93177" w:rsidRDefault="004C092A" w:rsidP="00545160">
      <w:pPr>
        <w:ind w:right="-22"/>
        <w:rPr>
          <w:rFonts w:ascii="Trebuchet MS" w:hAnsi="Trebuchet MS" w:cs="Arial"/>
          <w:b/>
          <w:sz w:val="24"/>
          <w:szCs w:val="24"/>
        </w:rPr>
      </w:pPr>
    </w:p>
    <w:p w:rsidR="004C092A" w:rsidRPr="00A93177" w:rsidRDefault="004C092A" w:rsidP="00545160">
      <w:pPr>
        <w:ind w:right="-22"/>
        <w:jc w:val="both"/>
        <w:rPr>
          <w:rFonts w:ascii="Trebuchet MS" w:eastAsia="Arial" w:hAnsi="Trebuchet MS" w:cs="Arial"/>
          <w:sz w:val="24"/>
          <w:szCs w:val="24"/>
        </w:rPr>
      </w:pPr>
      <w:r w:rsidRPr="00A93177">
        <w:rPr>
          <w:rFonts w:ascii="Trebuchet MS" w:hAnsi="Trebuchet MS" w:cs="Arial"/>
          <w:sz w:val="24"/>
          <w:szCs w:val="24"/>
        </w:rPr>
        <w:tab/>
        <w:t xml:space="preserve">în temeiul art. 10 alin. (4) din Hotărârea Guvernului nr. 34/2009 privind organizarea și funcționarea Ministerului Finanțelor Publice, cu modificările și completările ulterioare, </w:t>
      </w:r>
    </w:p>
    <w:p w:rsidR="004C092A" w:rsidRPr="00A93177" w:rsidRDefault="004C092A" w:rsidP="00545160">
      <w:pPr>
        <w:ind w:right="-22"/>
        <w:jc w:val="both"/>
        <w:rPr>
          <w:rFonts w:ascii="Trebuchet MS" w:eastAsia="Arial" w:hAnsi="Trebuchet MS" w:cs="Arial"/>
          <w:sz w:val="24"/>
          <w:szCs w:val="24"/>
        </w:rPr>
      </w:pPr>
      <w:r w:rsidRPr="00A93177">
        <w:rPr>
          <w:rFonts w:ascii="Trebuchet MS" w:eastAsia="Arial" w:hAnsi="Trebuchet MS" w:cs="Arial"/>
          <w:sz w:val="24"/>
          <w:szCs w:val="24"/>
        </w:rPr>
        <w:tab/>
      </w:r>
      <w:r w:rsidRPr="00A93177">
        <w:rPr>
          <w:rFonts w:ascii="Trebuchet MS" w:hAnsi="Trebuchet MS" w:cs="Arial"/>
          <w:sz w:val="24"/>
          <w:szCs w:val="24"/>
        </w:rPr>
        <w:t>având în vedere prevederile art. 4 din Legea contabilității nr. 82/1991, republicată, cu modificările și completările ulterioare,</w:t>
      </w:r>
    </w:p>
    <w:p w:rsidR="004C092A" w:rsidRPr="00A93177" w:rsidRDefault="004C092A" w:rsidP="00545160">
      <w:pPr>
        <w:ind w:right="-22"/>
        <w:jc w:val="both"/>
        <w:rPr>
          <w:rFonts w:ascii="Trebuchet MS" w:hAnsi="Trebuchet MS" w:cs="Arial"/>
          <w:sz w:val="24"/>
          <w:szCs w:val="24"/>
          <w:shd w:val="clear" w:color="auto" w:fill="FF0000"/>
        </w:rPr>
      </w:pPr>
    </w:p>
    <w:p w:rsidR="004C092A" w:rsidRPr="00A93177" w:rsidRDefault="004C092A" w:rsidP="00545160">
      <w:pPr>
        <w:ind w:right="-22"/>
        <w:jc w:val="both"/>
        <w:rPr>
          <w:rFonts w:ascii="Trebuchet MS" w:hAnsi="Trebuchet MS" w:cs="Arial"/>
          <w:sz w:val="24"/>
          <w:szCs w:val="24"/>
        </w:rPr>
      </w:pPr>
      <w:r w:rsidRPr="00A93177">
        <w:rPr>
          <w:rFonts w:ascii="Trebuchet MS" w:eastAsia="Arial" w:hAnsi="Trebuchet MS" w:cs="Arial"/>
          <w:sz w:val="24"/>
          <w:szCs w:val="24"/>
        </w:rPr>
        <w:t xml:space="preserve">    </w:t>
      </w:r>
      <w:r w:rsidRPr="00A93177">
        <w:rPr>
          <w:rFonts w:ascii="Trebuchet MS" w:hAnsi="Trebuchet MS" w:cs="Arial"/>
          <w:sz w:val="24"/>
          <w:szCs w:val="24"/>
        </w:rPr>
        <w:tab/>
      </w:r>
      <w:r w:rsidRPr="00A93177">
        <w:rPr>
          <w:rFonts w:ascii="Trebuchet MS" w:hAnsi="Trebuchet MS" w:cs="Arial"/>
          <w:b/>
          <w:sz w:val="24"/>
          <w:szCs w:val="24"/>
        </w:rPr>
        <w:t xml:space="preserve">ministrul finanțelor </w:t>
      </w:r>
      <w:r w:rsidRPr="00A93177">
        <w:rPr>
          <w:rFonts w:ascii="Trebuchet MS" w:hAnsi="Trebuchet MS" w:cs="Arial"/>
          <w:sz w:val="24"/>
          <w:szCs w:val="24"/>
        </w:rPr>
        <w:t xml:space="preserve">emite următorul ordin:   </w:t>
      </w:r>
    </w:p>
    <w:p w:rsidR="001864FB" w:rsidRDefault="001864FB" w:rsidP="00545160">
      <w:pPr>
        <w:ind w:right="-22"/>
        <w:rPr>
          <w:rFonts w:ascii="Trebuchet MS" w:hAnsi="Trebuchet MS" w:cs="Arial"/>
          <w:sz w:val="24"/>
          <w:szCs w:val="24"/>
        </w:rPr>
      </w:pPr>
    </w:p>
    <w:p w:rsidR="003F1AE3" w:rsidRPr="00A93177" w:rsidRDefault="003F1AE3" w:rsidP="00545160">
      <w:pPr>
        <w:ind w:right="-22"/>
        <w:rPr>
          <w:rFonts w:ascii="Trebuchet MS" w:hAnsi="Trebuchet MS" w:cs="Arial"/>
          <w:sz w:val="24"/>
          <w:szCs w:val="24"/>
        </w:rPr>
      </w:pPr>
    </w:p>
    <w:p w:rsidR="00B9476A" w:rsidRPr="00A93177" w:rsidRDefault="00B9476A" w:rsidP="00545160">
      <w:pPr>
        <w:ind w:right="-22" w:firstLine="578"/>
        <w:jc w:val="both"/>
        <w:rPr>
          <w:rFonts w:ascii="Trebuchet MS" w:hAnsi="Trebuchet MS" w:cs="Arial"/>
          <w:sz w:val="24"/>
          <w:szCs w:val="24"/>
        </w:rPr>
      </w:pPr>
      <w:r w:rsidRPr="00A93177">
        <w:rPr>
          <w:rFonts w:ascii="Trebuchet MS" w:hAnsi="Trebuchet MS" w:cs="Arial"/>
          <w:sz w:val="24"/>
          <w:szCs w:val="24"/>
          <w:lang w:val="en-US"/>
        </w:rPr>
        <w:t xml:space="preserve">Art. I. – </w:t>
      </w:r>
      <w:r w:rsidRPr="00A93177">
        <w:rPr>
          <w:rFonts w:ascii="Trebuchet MS" w:hAnsi="Trebuchet MS" w:cs="Arial"/>
          <w:sz w:val="24"/>
          <w:szCs w:val="24"/>
        </w:rPr>
        <w:t>Reglementările contabile privind situațiile financiare anuale individuale și situațiile financiare anuale consolidate, aprobate prin Ordinul ministrului finanțelor publice nr. 1.802/2014, publicat în Monitorul Oficial al României, Partea I, nr. 963 din 30 decembrie 2014, cu modificările și completările ulterioare, se modifică și se completează după cum urmează:</w:t>
      </w:r>
    </w:p>
    <w:p w:rsidR="00111DF3" w:rsidRPr="003F1AE3" w:rsidRDefault="00111DF3" w:rsidP="00545160">
      <w:pPr>
        <w:ind w:right="-22"/>
        <w:jc w:val="both"/>
        <w:rPr>
          <w:rFonts w:ascii="Trebuchet MS" w:hAnsi="Trebuchet MS" w:cs="Arial"/>
          <w:lang w:val="en-US"/>
        </w:rPr>
      </w:pPr>
    </w:p>
    <w:p w:rsidR="00F1104F" w:rsidRPr="00A93177" w:rsidRDefault="00F1104F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sz w:val="24"/>
          <w:szCs w:val="24"/>
          <w:lang w:val="en-US"/>
        </w:rPr>
      </w:pPr>
      <w:r w:rsidRPr="00A93177">
        <w:rPr>
          <w:rFonts w:ascii="Trebuchet MS" w:hAnsi="Trebuchet MS" w:cs="Arial"/>
          <w:sz w:val="24"/>
          <w:szCs w:val="24"/>
        </w:rPr>
        <w:t>După punctul 8 se introduce un nou punct, punctul 8</w:t>
      </w:r>
      <w:r w:rsidRPr="00A93177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A93177">
        <w:rPr>
          <w:rFonts w:ascii="Trebuchet MS" w:hAnsi="Trebuchet MS" w:cs="Arial"/>
          <w:sz w:val="24"/>
          <w:szCs w:val="24"/>
        </w:rPr>
        <w:t>, cu următorul cuprins:</w:t>
      </w:r>
    </w:p>
    <w:p w:rsidR="00F1104F" w:rsidRPr="00A93177" w:rsidRDefault="00F1104F" w:rsidP="00545160">
      <w:pPr>
        <w:ind w:right="-22" w:firstLine="720"/>
        <w:jc w:val="both"/>
        <w:rPr>
          <w:rFonts w:ascii="Trebuchet MS" w:hAnsi="Trebuchet MS" w:cs="Arial"/>
          <w:sz w:val="24"/>
          <w:szCs w:val="24"/>
        </w:rPr>
      </w:pPr>
      <w:r w:rsidRPr="00A93177">
        <w:rPr>
          <w:rFonts w:ascii="Trebuchet MS" w:hAnsi="Trebuchet MS" w:cs="Arial"/>
          <w:sz w:val="24"/>
          <w:szCs w:val="24"/>
        </w:rPr>
        <w:t>„8</w:t>
      </w:r>
      <w:r w:rsidRPr="00A93177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A93177">
        <w:rPr>
          <w:rFonts w:ascii="Trebuchet MS" w:hAnsi="Trebuchet MS" w:cs="Arial"/>
          <w:sz w:val="24"/>
          <w:szCs w:val="24"/>
        </w:rPr>
        <w:t xml:space="preserve">. </w:t>
      </w:r>
      <w:r w:rsidRPr="00A93177">
        <w:rPr>
          <w:rFonts w:ascii="Trebuchet MS" w:hAnsi="Trebuchet MS" w:cs="Arial"/>
          <w:sz w:val="24"/>
          <w:szCs w:val="24"/>
          <w:lang w:val="en-US"/>
        </w:rPr>
        <w:t>– (1)</w:t>
      </w:r>
      <w:r w:rsidR="00663891" w:rsidRPr="00A93177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="00663891" w:rsidRPr="00A93177">
        <w:rPr>
          <w:rFonts w:ascii="Trebuchet MS" w:hAnsi="Trebuchet MS" w:cs="Arial"/>
          <w:sz w:val="24"/>
          <w:szCs w:val="24"/>
          <w:lang w:val="en-US"/>
        </w:rPr>
        <w:t>Definițiile</w:t>
      </w:r>
      <w:proofErr w:type="spellEnd"/>
      <w:r w:rsidR="00663891" w:rsidRPr="00A93177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="00663891" w:rsidRPr="00A93177">
        <w:rPr>
          <w:rFonts w:ascii="Trebuchet MS" w:hAnsi="Trebuchet MS" w:cs="Arial"/>
          <w:sz w:val="24"/>
          <w:szCs w:val="24"/>
          <w:lang w:val="en-US"/>
        </w:rPr>
        <w:t>prevăzute</w:t>
      </w:r>
      <w:proofErr w:type="spellEnd"/>
      <w:r w:rsidR="00663891" w:rsidRPr="00A93177">
        <w:rPr>
          <w:rFonts w:ascii="Trebuchet MS" w:hAnsi="Trebuchet MS" w:cs="Arial"/>
          <w:sz w:val="24"/>
          <w:szCs w:val="24"/>
          <w:lang w:val="en-US"/>
        </w:rPr>
        <w:t xml:space="preserve"> la pct. 8 </w:t>
      </w:r>
      <w:r w:rsidR="00ED07F7" w:rsidRPr="00A93177">
        <w:rPr>
          <w:rFonts w:ascii="Trebuchet MS" w:eastAsia="Calibri" w:hAnsi="Trebuchet MS"/>
          <w:sz w:val="24"/>
          <w:szCs w:val="24"/>
        </w:rPr>
        <w:t xml:space="preserve">sunt utilizate în accepțiunea </w:t>
      </w:r>
      <w:r w:rsidR="00206754" w:rsidRPr="00A93177">
        <w:rPr>
          <w:rFonts w:ascii="Trebuchet MS" w:eastAsia="Calibri" w:hAnsi="Trebuchet MS"/>
          <w:sz w:val="24"/>
          <w:szCs w:val="24"/>
        </w:rPr>
        <w:t>prezentelor reglementări</w:t>
      </w:r>
      <w:r w:rsidR="00ED07F7" w:rsidRPr="00A93177">
        <w:rPr>
          <w:rFonts w:ascii="Trebuchet MS" w:eastAsia="Calibri" w:hAnsi="Trebuchet MS"/>
          <w:sz w:val="24"/>
          <w:szCs w:val="24"/>
        </w:rPr>
        <w:t xml:space="preserve"> contabile</w:t>
      </w:r>
      <w:r w:rsidR="007E57E6" w:rsidRPr="00A93177">
        <w:rPr>
          <w:rFonts w:ascii="Trebuchet MS" w:eastAsia="Calibri" w:hAnsi="Trebuchet MS"/>
          <w:sz w:val="24"/>
          <w:szCs w:val="24"/>
        </w:rPr>
        <w:t>,</w:t>
      </w:r>
      <w:r w:rsidR="00ED07F7" w:rsidRPr="00A93177">
        <w:rPr>
          <w:rFonts w:ascii="Trebuchet MS" w:eastAsia="Calibri" w:hAnsi="Trebuchet MS"/>
          <w:sz w:val="24"/>
          <w:szCs w:val="24"/>
        </w:rPr>
        <w:t xml:space="preserve"> și nu în contextul altor acte normative. </w:t>
      </w:r>
    </w:p>
    <w:p w:rsidR="009810A7" w:rsidRPr="00A93177" w:rsidRDefault="000B1D8B" w:rsidP="00545160">
      <w:pPr>
        <w:autoSpaceDE w:val="0"/>
        <w:autoSpaceDN w:val="0"/>
        <w:adjustRightInd w:val="0"/>
        <w:ind w:right="-22" w:firstLine="720"/>
        <w:jc w:val="both"/>
        <w:rPr>
          <w:rFonts w:ascii="Trebuchet MS" w:eastAsia="Calibri" w:hAnsi="Trebuchet MS"/>
          <w:sz w:val="24"/>
          <w:szCs w:val="24"/>
        </w:rPr>
      </w:pPr>
      <w:r w:rsidRPr="00A93177">
        <w:rPr>
          <w:rFonts w:ascii="Trebuchet MS" w:eastAsia="Calibri" w:hAnsi="Trebuchet MS"/>
          <w:sz w:val="24"/>
          <w:szCs w:val="24"/>
        </w:rPr>
        <w:t xml:space="preserve">(2) </w:t>
      </w:r>
      <w:r w:rsidR="00DE1412">
        <w:rPr>
          <w:rFonts w:ascii="Trebuchet MS" w:eastAsia="Calibri" w:hAnsi="Trebuchet MS"/>
          <w:sz w:val="24"/>
          <w:szCs w:val="24"/>
        </w:rPr>
        <w:t>Înregistra</w:t>
      </w:r>
      <w:r w:rsidR="00F262D3">
        <w:rPr>
          <w:rFonts w:ascii="Trebuchet MS" w:eastAsia="Calibri" w:hAnsi="Trebuchet MS"/>
          <w:sz w:val="24"/>
          <w:szCs w:val="24"/>
        </w:rPr>
        <w:t xml:space="preserve">rea în contabilitate a </w:t>
      </w:r>
      <w:r w:rsidR="00F262D3">
        <w:rPr>
          <w:rFonts w:ascii="Trebuchet MS" w:hAnsi="Trebuchet MS" w:cs="Arial"/>
          <w:sz w:val="24"/>
          <w:szCs w:val="24"/>
        </w:rPr>
        <w:t>veniturilor corespunzătoare cifrei de afaceri se efectuează</w:t>
      </w:r>
      <w:r w:rsidR="00F262D3">
        <w:rPr>
          <w:rFonts w:ascii="Trebuchet MS" w:eastAsia="Calibri" w:hAnsi="Trebuchet MS"/>
          <w:sz w:val="24"/>
          <w:szCs w:val="24"/>
        </w:rPr>
        <w:t xml:space="preserve"> </w:t>
      </w:r>
      <w:r w:rsidR="009810A7">
        <w:rPr>
          <w:rFonts w:ascii="Trebuchet MS" w:hAnsi="Trebuchet MS" w:cs="Arial"/>
          <w:sz w:val="24"/>
          <w:szCs w:val="24"/>
        </w:rPr>
        <w:t xml:space="preserve">în funcție de </w:t>
      </w:r>
      <w:r w:rsidR="009810A7" w:rsidRPr="00A93177">
        <w:rPr>
          <w:rFonts w:ascii="Trebuchet MS" w:eastAsia="Calibri" w:hAnsi="Trebuchet MS"/>
          <w:sz w:val="24"/>
          <w:szCs w:val="24"/>
        </w:rPr>
        <w:t>specificul activității desfășurate</w:t>
      </w:r>
      <w:r w:rsidR="009810A7">
        <w:rPr>
          <w:rFonts w:ascii="Trebuchet MS" w:eastAsia="Calibri" w:hAnsi="Trebuchet MS"/>
          <w:sz w:val="24"/>
          <w:szCs w:val="24"/>
        </w:rPr>
        <w:t>, potrivit legii.”</w:t>
      </w:r>
    </w:p>
    <w:p w:rsidR="009810A7" w:rsidRPr="003F1AE3" w:rsidRDefault="009810A7" w:rsidP="00545160">
      <w:pPr>
        <w:ind w:right="-22"/>
        <w:jc w:val="both"/>
        <w:rPr>
          <w:rFonts w:ascii="Trebuchet MS" w:hAnsi="Trebuchet MS" w:cs="Arial"/>
        </w:rPr>
      </w:pPr>
    </w:p>
    <w:p w:rsidR="001F76C4" w:rsidRPr="00A93177" w:rsidRDefault="001F76C4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sz w:val="24"/>
          <w:szCs w:val="24"/>
        </w:rPr>
      </w:pPr>
      <w:r w:rsidRPr="00A93177">
        <w:rPr>
          <w:rFonts w:ascii="Trebuchet MS" w:hAnsi="Trebuchet MS" w:cs="Arial"/>
          <w:sz w:val="24"/>
          <w:szCs w:val="24"/>
        </w:rPr>
        <w:t xml:space="preserve">După alineatul (5) al punctului 80 se </w:t>
      </w:r>
      <w:r w:rsidR="003A740F" w:rsidRPr="00A93177">
        <w:rPr>
          <w:rFonts w:ascii="Trebuchet MS" w:hAnsi="Trebuchet MS" w:cs="Arial"/>
          <w:sz w:val="24"/>
          <w:szCs w:val="24"/>
        </w:rPr>
        <w:t>introduce</w:t>
      </w:r>
      <w:r w:rsidRPr="00A93177">
        <w:rPr>
          <w:rFonts w:ascii="Trebuchet MS" w:hAnsi="Trebuchet MS" w:cs="Arial"/>
          <w:sz w:val="24"/>
          <w:szCs w:val="24"/>
        </w:rPr>
        <w:t xml:space="preserve"> un nou alineat, alineatul (5</w:t>
      </w:r>
      <w:r w:rsidRPr="00A93177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A93177">
        <w:rPr>
          <w:rFonts w:ascii="Trebuchet MS" w:hAnsi="Trebuchet MS" w:cs="Arial"/>
          <w:sz w:val="24"/>
          <w:szCs w:val="24"/>
        </w:rPr>
        <w:t>), cu următorul cuprins:</w:t>
      </w:r>
    </w:p>
    <w:p w:rsidR="00680CDC" w:rsidRPr="000C3C52" w:rsidRDefault="004B5343" w:rsidP="00545160">
      <w:pPr>
        <w:pStyle w:val="ListParagraph"/>
        <w:ind w:left="0" w:right="-22" w:firstLine="720"/>
        <w:jc w:val="both"/>
        <w:rPr>
          <w:rFonts w:ascii="Trebuchet MS" w:eastAsiaTheme="minorHAnsi" w:hAnsi="Trebuchet MS" w:cs="Arial"/>
          <w:sz w:val="24"/>
          <w:szCs w:val="24"/>
          <w:lang w:val="en-US" w:eastAsia="en-US"/>
        </w:rPr>
      </w:pPr>
      <w:r w:rsidRPr="00A93177">
        <w:rPr>
          <w:rFonts w:ascii="Trebuchet MS" w:hAnsi="Trebuchet MS" w:cs="Arial"/>
          <w:sz w:val="24"/>
          <w:szCs w:val="24"/>
        </w:rPr>
        <w:t>„(5</w:t>
      </w:r>
      <w:r w:rsidRPr="00A93177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A93177">
        <w:rPr>
          <w:rFonts w:ascii="Trebuchet MS" w:hAnsi="Trebuchet MS" w:cs="Arial"/>
          <w:sz w:val="24"/>
          <w:szCs w:val="24"/>
        </w:rPr>
        <w:t>)</w:t>
      </w:r>
      <w:r w:rsidR="004D4BE0" w:rsidRPr="00A93177">
        <w:rPr>
          <w:rFonts w:ascii="Trebuchet MS" w:hAnsi="Trebuchet MS" w:cs="Arial"/>
          <w:sz w:val="24"/>
          <w:szCs w:val="24"/>
        </w:rPr>
        <w:t xml:space="preserve"> </w:t>
      </w:r>
      <w:r w:rsidR="001E4DDF">
        <w:rPr>
          <w:rFonts w:ascii="Trebuchet MS" w:hAnsi="Trebuchet MS" w:cs="Arial"/>
          <w:sz w:val="24"/>
          <w:szCs w:val="24"/>
        </w:rPr>
        <w:t xml:space="preserve">În înțelesul alin. (5), </w:t>
      </w:r>
      <w:r w:rsidR="001E4DDF">
        <w:rPr>
          <w:rFonts w:ascii="Trebuchet MS" w:eastAsiaTheme="minorHAnsi" w:hAnsi="Trebuchet MS" w:cs="Arial"/>
          <w:sz w:val="24"/>
          <w:szCs w:val="24"/>
          <w:lang w:val="en-US" w:eastAsia="en-US"/>
        </w:rPr>
        <w:t>u</w:t>
      </w:r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n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activ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este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mod </w:t>
      </w:r>
      <w:r w:rsidR="00680CDC" w:rsidRPr="001E4DDF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normal </w:t>
      </w:r>
      <w:r w:rsidR="001E4DDF" w:rsidRPr="001E4DDF">
        <w:rPr>
          <w:rFonts w:ascii="Trebuchet MS" w:eastAsiaTheme="minorHAnsi" w:hAnsi="Trebuchet MS" w:cs="Arial"/>
          <w:sz w:val="24"/>
          <w:szCs w:val="24"/>
          <w:lang w:eastAsia="en-US"/>
        </w:rPr>
        <w:t>preg</w:t>
      </w:r>
      <w:r w:rsidR="00925798">
        <w:rPr>
          <w:rFonts w:ascii="Trebuchet MS" w:eastAsiaTheme="minorHAnsi" w:hAnsi="Trebuchet MS" w:cs="Arial"/>
          <w:sz w:val="24"/>
          <w:szCs w:val="24"/>
          <w:lang w:eastAsia="en-US"/>
        </w:rPr>
        <w:t>ă</w:t>
      </w:r>
      <w:r w:rsidR="001E4DDF" w:rsidRPr="001E4DDF">
        <w:rPr>
          <w:rFonts w:ascii="Trebuchet MS" w:eastAsiaTheme="minorHAnsi" w:hAnsi="Trebuchet MS" w:cs="Arial"/>
          <w:sz w:val="24"/>
          <w:szCs w:val="24"/>
          <w:lang w:eastAsia="en-US"/>
        </w:rPr>
        <w:t>tit</w:t>
      </w:r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pentru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utilizarea</w:t>
      </w:r>
      <w:proofErr w:type="spellEnd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sau</w:t>
      </w:r>
      <w:proofErr w:type="spellEnd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vânzarea</w:t>
      </w:r>
      <w:proofErr w:type="spellEnd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sa</w:t>
      </w:r>
      <w:proofErr w:type="spellEnd"/>
      <w:r w:rsidR="00E24BC2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EB2559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prestabilită</w:t>
      </w:r>
      <w:proofErr w:type="spellEnd"/>
      <w:r w:rsidR="004D4BE0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atunci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când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construcţia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fizică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activului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este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terminată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chiar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dacă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unele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lucrări</w:t>
      </w:r>
      <w:proofErr w:type="spellEnd"/>
      <w:r w:rsidR="00680CDC"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administrative</w:t>
      </w:r>
      <w:r w:rsidR="004D4BE0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de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rutină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pot continua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încă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.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Dacă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mai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sunt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realizat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doar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modificări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minore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,</w:t>
      </w:r>
      <w:r w:rsidR="004D4BE0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cum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ar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decorarea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interioară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unei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clădiri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conform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specificațiilor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cumpărătorului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sau</w:t>
      </w:r>
      <w:proofErr w:type="spellEnd"/>
      <w:r w:rsidR="004D4BE0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utilizatorului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,</w:t>
      </w:r>
      <w:r w:rsidR="004D4BE0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atunci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se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consideră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fost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încheiată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cea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mai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mare parte a </w:t>
      </w:r>
      <w:proofErr w:type="spellStart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activităţilor</w:t>
      </w:r>
      <w:proofErr w:type="spellEnd"/>
      <w:r w:rsidR="00680CDC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.</w:t>
      </w:r>
      <w:r w:rsidR="004D4BE0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”</w:t>
      </w:r>
    </w:p>
    <w:p w:rsidR="001E4DDF" w:rsidRPr="003F1AE3" w:rsidRDefault="001E4DDF" w:rsidP="00545160">
      <w:pPr>
        <w:ind w:right="-22"/>
        <w:jc w:val="both"/>
        <w:rPr>
          <w:rFonts w:ascii="Trebuchet MS" w:eastAsiaTheme="minorHAnsi" w:hAnsi="Trebuchet MS" w:cs="Arial"/>
          <w:lang w:val="en-US" w:eastAsia="en-US"/>
        </w:rPr>
      </w:pPr>
    </w:p>
    <w:p w:rsidR="008D518E" w:rsidRPr="000C3C52" w:rsidRDefault="008D518E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După punctul 80 se </w:t>
      </w:r>
      <w:r w:rsidR="003A740F" w:rsidRPr="000C3C52">
        <w:rPr>
          <w:rFonts w:ascii="Trebuchet MS" w:hAnsi="Trebuchet MS" w:cs="Arial"/>
          <w:color w:val="000000" w:themeColor="text1"/>
          <w:sz w:val="24"/>
          <w:szCs w:val="24"/>
        </w:rPr>
        <w:t>introduce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un nou punct, punctul 80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1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, cu următorul cuprins:</w:t>
      </w:r>
    </w:p>
    <w:p w:rsidR="008D518E" w:rsidRPr="000C3C52" w:rsidRDefault="008D518E" w:rsidP="00545160">
      <w:pPr>
        <w:pStyle w:val="ListParagraph"/>
        <w:ind w:left="0" w:right="-22" w:firstLine="720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„80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1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. 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– (1) </w:t>
      </w:r>
      <w:proofErr w:type="spellStart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În</w:t>
      </w:r>
      <w:proofErr w:type="spellEnd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înțelesul</w:t>
      </w:r>
      <w:proofErr w:type="spellEnd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prezentelor</w:t>
      </w:r>
      <w:proofErr w:type="spellEnd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reglementări</w:t>
      </w:r>
      <w:proofErr w:type="spellEnd"/>
      <w:r w:rsidR="00DF525C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, d</w:t>
      </w:r>
      <w:r w:rsidR="007E43D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ata </w:t>
      </w:r>
      <w:proofErr w:type="spellStart"/>
      <w:r w:rsidR="007E43D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începerii</w:t>
      </w:r>
      <w:proofErr w:type="spellEnd"/>
      <w:r w:rsidR="007E43D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E43D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>capitalizării</w:t>
      </w:r>
      <w:proofErr w:type="spellEnd"/>
      <w:r w:rsidR="007E43DB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costurilor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îndatorării</w:t>
      </w:r>
      <w:proofErr w:type="spellEnd"/>
      <w:r w:rsidR="007E43DB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,</w:t>
      </w:r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ca parte a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costului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unui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activ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cu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ciclu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lung de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producţie</w:t>
      </w:r>
      <w:proofErr w:type="spellEnd"/>
      <w:r w:rsidR="007E43DB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,</w:t>
      </w:r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este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data la care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entitatea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îndeplineşte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pentru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prima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dată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toate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condiţiile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de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mai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jos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:</w:t>
      </w:r>
    </w:p>
    <w:p w:rsidR="008D518E" w:rsidRPr="000C3C52" w:rsidRDefault="008D518E" w:rsidP="00545160">
      <w:pPr>
        <w:suppressAutoHyphens w:val="0"/>
        <w:autoSpaceDE w:val="0"/>
        <w:autoSpaceDN w:val="0"/>
        <w:adjustRightInd w:val="0"/>
        <w:ind w:right="-22" w:firstLine="720"/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</w:pPr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a)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suportă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cheltuielile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pentru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activul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respectiv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;</w:t>
      </w:r>
    </w:p>
    <w:p w:rsidR="008D518E" w:rsidRPr="000C3C52" w:rsidRDefault="008D518E" w:rsidP="00545160">
      <w:pPr>
        <w:suppressAutoHyphens w:val="0"/>
        <w:autoSpaceDE w:val="0"/>
        <w:autoSpaceDN w:val="0"/>
        <w:adjustRightInd w:val="0"/>
        <w:ind w:right="-22" w:firstLine="720"/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</w:pPr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b)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suportă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costurile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îndatorării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;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şi</w:t>
      </w:r>
      <w:proofErr w:type="spellEnd"/>
    </w:p>
    <w:p w:rsidR="008D518E" w:rsidRPr="000C3C52" w:rsidRDefault="008D518E" w:rsidP="00545160">
      <w:pPr>
        <w:suppressAutoHyphens w:val="0"/>
        <w:autoSpaceDE w:val="0"/>
        <w:autoSpaceDN w:val="0"/>
        <w:adjustRightInd w:val="0"/>
        <w:ind w:right="-22" w:firstLine="720"/>
        <w:jc w:val="both"/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</w:pPr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c)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întreprinde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activităţile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necesare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pentru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pregătirea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activului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vederea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utilizării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sale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prestabilite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sau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pentru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vânzare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.</w:t>
      </w:r>
    </w:p>
    <w:p w:rsidR="008D518E" w:rsidRPr="00A93177" w:rsidRDefault="008D518E" w:rsidP="00545160">
      <w:pPr>
        <w:suppressAutoHyphens w:val="0"/>
        <w:autoSpaceDE w:val="0"/>
        <w:autoSpaceDN w:val="0"/>
        <w:adjustRightInd w:val="0"/>
        <w:ind w:right="-22" w:firstLine="720"/>
        <w:jc w:val="both"/>
        <w:rPr>
          <w:rFonts w:ascii="Trebuchet MS" w:eastAsiaTheme="minorHAnsi" w:hAnsi="Trebuchet MS" w:cs="TimesNewRomanPSMT"/>
          <w:sz w:val="24"/>
          <w:szCs w:val="24"/>
          <w:lang w:val="en-US" w:eastAsia="en-US"/>
        </w:rPr>
      </w:pPr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(2)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înțelesul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prezentelor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reglementări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, o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entitate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suportă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cheltuieli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pentru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un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activ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cu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ciclu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lung de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fabricație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doar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atunci</w:t>
      </w:r>
      <w:proofErr w:type="spellEnd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>când</w:t>
      </w:r>
      <w:proofErr w:type="spellEnd"/>
      <w:r w:rsidRPr="000C3C52">
        <w:rPr>
          <w:rFonts w:ascii="Trebuchet MS" w:eastAsiaTheme="minorHAnsi" w:hAnsi="Trebuchet MS" w:cs="TimesNewRomanPSMT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acele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cheltuieli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au</w:t>
      </w:r>
      <w:r w:rsidRPr="00A93177">
        <w:rPr>
          <w:rFonts w:ascii="Trebuchet MS" w:eastAsiaTheme="minorHAnsi" w:hAnsi="Trebuchet MS" w:cs="TimesNewRomanPSMT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generat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plăţi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numerar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transferuri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alte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active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sau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preluarea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unor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datorii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purtătoare</w:t>
      </w:r>
      <w:proofErr w:type="spellEnd"/>
      <w:r w:rsidRPr="00A93177">
        <w:rPr>
          <w:rFonts w:ascii="Trebuchet MS" w:eastAsiaTheme="minorHAnsi" w:hAnsi="Trebuchet MS" w:cs="TimesNewRomanPSMT"/>
          <w:sz w:val="24"/>
          <w:szCs w:val="24"/>
          <w:lang w:val="en-US" w:eastAsia="en-US"/>
        </w:rPr>
        <w:t xml:space="preserve"> </w:t>
      </w:r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de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dobândă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.</w:t>
      </w:r>
    </w:p>
    <w:p w:rsidR="008D518E" w:rsidRPr="000C3C52" w:rsidRDefault="008D518E" w:rsidP="00545160">
      <w:pPr>
        <w:suppressAutoHyphens w:val="0"/>
        <w:autoSpaceDE w:val="0"/>
        <w:autoSpaceDN w:val="0"/>
        <w:adjustRightInd w:val="0"/>
        <w:ind w:right="-22"/>
        <w:jc w:val="both"/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</w:pPr>
      <w:r w:rsidRPr="00A93177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lastRenderedPageBreak/>
        <w:tab/>
        <w:t xml:space="preserve">(3)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Activităţile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necesare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pregătirii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activului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pentru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utilizarea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sa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prestabilită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sau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pentru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vânzare</w:t>
      </w:r>
      <w:proofErr w:type="spellEnd"/>
      <w:r w:rsidRPr="00A93177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nu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cuprind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numai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construirea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fizică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activului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.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Ele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includ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lucrările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tehnice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şi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administrative</w:t>
      </w:r>
      <w:r w:rsidRPr="00A93177">
        <w:rPr>
          <w:rFonts w:ascii="Trebuchet MS" w:eastAsiaTheme="minorHAnsi" w:hAnsi="Trebuchet MS" w:cs="Arial"/>
          <w:bCs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anterioare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începerii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construcţiei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fizice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cum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ar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fi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>activităţile</w:t>
      </w:r>
      <w:proofErr w:type="spellEnd"/>
      <w:r w:rsidRPr="00A93177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asociate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cu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obţinerea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avizelor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anterioare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începerii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construcţiei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fizice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.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Totuşi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asemenea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activităţi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exclud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deţinerea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unui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atunci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când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nu are loc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nicio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activitate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producţie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sau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dezvoltare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care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să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modifice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starea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activului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. De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exemplu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costurile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îndatorării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suportate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cursul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amenajării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terenului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sunt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capitalizate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perioada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care se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desfăşoară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activităţile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legate de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amenajare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. </w:t>
      </w:r>
      <w:proofErr w:type="spellStart"/>
      <w:r w:rsidR="00012E14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="00012E14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012E14">
        <w:rPr>
          <w:rFonts w:ascii="Trebuchet MS" w:eastAsiaTheme="minorHAnsi" w:hAnsi="Trebuchet MS" w:cs="Arial"/>
          <w:sz w:val="24"/>
          <w:szCs w:val="24"/>
          <w:lang w:val="en-US" w:eastAsia="en-US"/>
        </w:rPr>
        <w:t>schimb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costurile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îndatorării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suportate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perioada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care un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teren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dobândit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scopul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construirii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clădiri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este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deţinut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fără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a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supus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unor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activităţi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asociate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amenajare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nu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sunt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acceptate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pentru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capitalizare</w:t>
      </w:r>
      <w:proofErr w:type="spellEnd"/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.”</w:t>
      </w:r>
    </w:p>
    <w:p w:rsidR="008D518E" w:rsidRPr="003F1AE3" w:rsidRDefault="008D518E" w:rsidP="00545160">
      <w:pPr>
        <w:ind w:right="-22"/>
        <w:jc w:val="both"/>
        <w:rPr>
          <w:rFonts w:ascii="Trebuchet MS" w:hAnsi="Trebuchet MS" w:cs="Arial"/>
          <w:color w:val="000000" w:themeColor="text1"/>
          <w:lang w:val="en-US"/>
        </w:rPr>
      </w:pPr>
    </w:p>
    <w:p w:rsidR="00A101D5" w:rsidRPr="000C3C52" w:rsidRDefault="009908CA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La punctul</w:t>
      </w:r>
      <w:r w:rsidR="00A101D5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179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, alineatul (4)</w:t>
      </w:r>
      <w:r w:rsidR="00A101D5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se modifică și va avea următorul cuprins:</w:t>
      </w:r>
    </w:p>
    <w:p w:rsidR="00A101D5" w:rsidRDefault="009908CA" w:rsidP="00545160">
      <w:pPr>
        <w:pStyle w:val="ListParagraph"/>
        <w:ind w:left="0" w:right="-22" w:firstLine="720"/>
        <w:jc w:val="both"/>
        <w:rPr>
          <w:rFonts w:ascii="Trebuchet MS" w:eastAsiaTheme="minorHAnsi" w:hAnsi="Trebuchet MS" w:cs="Arial"/>
          <w:sz w:val="24"/>
          <w:szCs w:val="24"/>
          <w:lang w:val="en-US" w:eastAsia="en-US"/>
        </w:rPr>
      </w:pPr>
      <w:r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„(4)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Entitatea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care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cedează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o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afacere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scoate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din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evidenţă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activele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şi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datoriile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corespunzătoare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la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valoarea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la care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acestea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sunt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înregistrate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contabilitate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pe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seama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conturilor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cheltuieli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,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respectiv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venituri</w:t>
      </w:r>
      <w:proofErr w:type="spellEnd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. </w:t>
      </w:r>
      <w:proofErr w:type="spellStart"/>
      <w:r w:rsidR="00A101D5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Veniturile</w:t>
      </w:r>
      <w:proofErr w:type="spellEnd"/>
      <w:r w:rsidR="00F131F5">
        <w:rPr>
          <w:rFonts w:ascii="Trebuchet MS" w:hAnsi="Trebuchet MS" w:cs="Arial"/>
        </w:rPr>
        <w:t xml:space="preserve"> </w:t>
      </w:r>
      <w:r w:rsidR="00F131F5" w:rsidRPr="00F131F5">
        <w:rPr>
          <w:rFonts w:ascii="Trebuchet MS" w:hAnsi="Trebuchet MS" w:cs="Arial"/>
          <w:sz w:val="24"/>
          <w:szCs w:val="24"/>
        </w:rPr>
        <w:t>determinate de scoaterea din evidență a datoriilor corespunzătoare afacerii cedate</w:t>
      </w:r>
      <w:r w:rsidR="00A101D5" w:rsidRPr="00545160">
        <w:rPr>
          <w:rFonts w:ascii="Trebuchet MS" w:hAnsi="Trebuchet MS" w:cs="Arial"/>
          <w:sz w:val="24"/>
          <w:szCs w:val="24"/>
        </w:rPr>
        <w:t xml:space="preserve"> se recunosc distinct de </w:t>
      </w:r>
      <w:r w:rsidR="00DF1A8F" w:rsidRPr="00545160">
        <w:rPr>
          <w:rFonts w:ascii="Trebuchet MS" w:hAnsi="Trebuchet MS" w:cs="Arial"/>
          <w:sz w:val="24"/>
          <w:szCs w:val="24"/>
        </w:rPr>
        <w:t>cele obținute din vânzarea</w:t>
      </w:r>
      <w:r w:rsidR="00A101D5" w:rsidRPr="00545160">
        <w:rPr>
          <w:rFonts w:ascii="Trebuchet MS" w:hAnsi="Trebuchet MS" w:cs="Arial"/>
          <w:sz w:val="24"/>
          <w:szCs w:val="24"/>
        </w:rPr>
        <w:t xml:space="preserve"> afacerii.</w:t>
      </w:r>
      <w:r w:rsidR="00545160" w:rsidRPr="00545160">
        <w:rPr>
          <w:rFonts w:ascii="Trebuchet MS" w:hAnsi="Trebuchet MS" w:cs="Arial"/>
          <w:sz w:val="24"/>
          <w:szCs w:val="24"/>
        </w:rPr>
        <w:t xml:space="preserve"> Afacerea are semnificație similară celei prevăzute la alin. (1).</w:t>
      </w:r>
      <w:r w:rsidRPr="00545160">
        <w:rPr>
          <w:rFonts w:ascii="Trebuchet MS" w:hAnsi="Trebuchet MS" w:cs="Arial"/>
          <w:sz w:val="24"/>
          <w:szCs w:val="24"/>
        </w:rPr>
        <w:t>”</w:t>
      </w:r>
    </w:p>
    <w:p w:rsidR="00C10E6C" w:rsidRPr="003F1AE3" w:rsidRDefault="00C10E6C" w:rsidP="00545160">
      <w:pPr>
        <w:ind w:right="-22"/>
        <w:jc w:val="both"/>
        <w:rPr>
          <w:rFonts w:ascii="Trebuchet MS" w:hAnsi="Trebuchet MS" w:cs="Arial"/>
          <w:color w:val="000000" w:themeColor="text1"/>
        </w:rPr>
      </w:pPr>
    </w:p>
    <w:p w:rsidR="00515D11" w:rsidRPr="000C3C52" w:rsidRDefault="00515D11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După alineatul (5) al punctului 412 se </w:t>
      </w:r>
      <w:r w:rsidR="003A740F" w:rsidRPr="000C3C52">
        <w:rPr>
          <w:rFonts w:ascii="Trebuchet MS" w:hAnsi="Trebuchet MS" w:cs="Arial"/>
          <w:color w:val="000000" w:themeColor="text1"/>
          <w:sz w:val="24"/>
          <w:szCs w:val="24"/>
        </w:rPr>
        <w:t>introduce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un nou alineat, alineatul (6), cu următorul cuprins:</w:t>
      </w:r>
    </w:p>
    <w:p w:rsidR="00950336" w:rsidRPr="000C3C52" w:rsidRDefault="00515D11" w:rsidP="00545160">
      <w:pPr>
        <w:ind w:right="-22" w:firstLine="720"/>
        <w:jc w:val="both"/>
        <w:rPr>
          <w:rFonts w:ascii="Trebuchet MS" w:eastAsiaTheme="minorHAnsi" w:hAnsi="Trebuchet MS" w:cs="Arial"/>
          <w:sz w:val="24"/>
          <w:szCs w:val="24"/>
          <w:lang w:val="en-US" w:eastAsia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„(6)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Capitalul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social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prezentat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situaţiile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financiare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anuale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trebuie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să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corespundă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cu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cel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înregistrat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la</w:t>
      </w:r>
      <w:r w:rsidR="00904A4D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04A4D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Oficiul</w:t>
      </w:r>
      <w:proofErr w:type="spellEnd"/>
      <w:r w:rsidR="00904A4D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04A4D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Registrului</w:t>
      </w:r>
      <w:proofErr w:type="spellEnd"/>
      <w:r w:rsidR="00904A4D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904A4D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Comerţului</w:t>
      </w:r>
      <w:proofErr w:type="spellEnd"/>
      <w:r w:rsidR="0095033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.”</w:t>
      </w:r>
    </w:p>
    <w:p w:rsidR="00DB0685" w:rsidRPr="003F1AE3" w:rsidRDefault="00DB0685" w:rsidP="00545160">
      <w:pPr>
        <w:ind w:right="-22" w:firstLine="720"/>
        <w:jc w:val="both"/>
        <w:rPr>
          <w:rFonts w:ascii="Trebuchet MS" w:eastAsiaTheme="minorHAnsi" w:hAnsi="Trebuchet MS" w:cs="Arial"/>
          <w:lang w:val="en-US" w:eastAsia="en-US"/>
        </w:rPr>
      </w:pPr>
    </w:p>
    <w:p w:rsidR="00E1754E" w:rsidRPr="000C3C52" w:rsidRDefault="00050717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După punctul 432 se introduc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două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no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</w:rPr>
        <w:t>i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punct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</w:rPr>
        <w:t>e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>, punct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</w:rPr>
        <w:t>e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>l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</w:rPr>
        <w:t>e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432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1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 xml:space="preserve"> 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</w:rPr>
        <w:t>și 432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2</w:t>
      </w:r>
      <w:r w:rsidR="001A4CB0" w:rsidRPr="000C3C52">
        <w:rPr>
          <w:rFonts w:ascii="Trebuchet MS" w:hAnsi="Trebuchet MS" w:cs="Arial"/>
          <w:color w:val="000000" w:themeColor="text1"/>
          <w:sz w:val="24"/>
          <w:szCs w:val="24"/>
        </w:rPr>
        <w:t>,</w:t>
      </w:r>
      <w:r w:rsidR="00E1754E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 cu următorul cuprins:</w:t>
      </w:r>
    </w:p>
    <w:p w:rsidR="00F70868" w:rsidRPr="000C3C52" w:rsidRDefault="00E1754E" w:rsidP="00545160">
      <w:pPr>
        <w:ind w:right="-22" w:firstLine="720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„432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1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. 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– </w:t>
      </w:r>
      <w:r w:rsidR="0028729D" w:rsidRPr="000C3C52">
        <w:rPr>
          <w:rFonts w:ascii="Trebuchet MS" w:eastAsia="Calibri" w:hAnsi="Trebuchet MS" w:cs="Arial"/>
          <w:sz w:val="24"/>
          <w:szCs w:val="24"/>
        </w:rPr>
        <w:t>R</w:t>
      </w:r>
      <w:r w:rsidRPr="000C3C52">
        <w:rPr>
          <w:rFonts w:ascii="Trebuchet MS" w:eastAsia="Calibri" w:hAnsi="Trebuchet MS" w:cs="Arial"/>
          <w:sz w:val="24"/>
          <w:szCs w:val="24"/>
        </w:rPr>
        <w:t>ăspunderea în ceea ce privește încadrarea operațiuni</w:t>
      </w:r>
      <w:r w:rsidR="00F70868" w:rsidRPr="000C3C52">
        <w:rPr>
          <w:rFonts w:ascii="Trebuchet MS" w:eastAsia="Calibri" w:hAnsi="Trebuchet MS" w:cs="Arial"/>
          <w:sz w:val="24"/>
          <w:szCs w:val="24"/>
        </w:rPr>
        <w:t>lor</w:t>
      </w:r>
      <w:r w:rsidRPr="000C3C52">
        <w:rPr>
          <w:rFonts w:ascii="Trebuchet MS" w:eastAsia="Calibri" w:hAnsi="Trebuchet MS" w:cs="Arial"/>
          <w:sz w:val="24"/>
          <w:szCs w:val="24"/>
        </w:rPr>
        <w:t xml:space="preserve"> care presupun colectarea de sume în numele unor terțe părți revine entității.</w:t>
      </w:r>
    </w:p>
    <w:p w:rsidR="00063476" w:rsidRPr="000C3C52" w:rsidRDefault="001A4CB0" w:rsidP="00545160">
      <w:pPr>
        <w:ind w:right="-22" w:firstLine="720"/>
        <w:jc w:val="both"/>
        <w:rPr>
          <w:rFonts w:ascii="Trebuchet MS" w:hAnsi="Trebuchet MS" w:cs="Arial"/>
          <w:color w:val="000000" w:themeColor="text1"/>
          <w:sz w:val="24"/>
          <w:szCs w:val="24"/>
          <w:lang w:val="en-US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>432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vertAlign w:val="superscript"/>
        </w:rPr>
        <w:t>2</w:t>
      </w: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. </w:t>
      </w:r>
      <w:r w:rsidRPr="000C3C52">
        <w:rPr>
          <w:rFonts w:ascii="Trebuchet MS" w:hAnsi="Trebuchet MS" w:cs="Arial"/>
          <w:color w:val="000000" w:themeColor="text1"/>
          <w:sz w:val="24"/>
          <w:szCs w:val="24"/>
          <w:lang w:val="en-US"/>
        </w:rPr>
        <w:t xml:space="preserve">– (1) </w:t>
      </w:r>
      <w:r w:rsidR="00063476" w:rsidRPr="000C3C52">
        <w:rPr>
          <w:rFonts w:ascii="Trebuchet MS" w:hAnsi="Trebuchet MS" w:cs="TimesNewRomanPSMT"/>
          <w:sz w:val="24"/>
          <w:szCs w:val="24"/>
        </w:rPr>
        <w:t>O entitate care acţionează în nume propriu își poate îndeplini obligaţia de executare pentru a furniza chiar ea un bun sau un serviciu specificat sau poate angaja o altă parte (de exemplu, un subcontractant) pentru a îndeplini o obligaţie de executare parţial sau în întregime în numele său.</w:t>
      </w:r>
    </w:p>
    <w:p w:rsidR="00232AD1" w:rsidRPr="000C3C52" w:rsidRDefault="001A4CB0" w:rsidP="00545160">
      <w:pPr>
        <w:autoSpaceDE w:val="0"/>
        <w:autoSpaceDN w:val="0"/>
        <w:adjustRightInd w:val="0"/>
        <w:ind w:right="-22" w:firstLine="720"/>
        <w:jc w:val="both"/>
        <w:rPr>
          <w:rFonts w:ascii="Trebuchet MS" w:hAnsi="Trebuchet MS" w:cs="TimesNewRomanPSMT"/>
          <w:sz w:val="24"/>
          <w:szCs w:val="24"/>
        </w:rPr>
      </w:pPr>
      <w:r w:rsidRPr="000C3C52">
        <w:rPr>
          <w:rFonts w:ascii="Trebuchet MS" w:hAnsi="Trebuchet MS" w:cs="TimesNewRomanPSMT"/>
          <w:sz w:val="24"/>
          <w:szCs w:val="24"/>
        </w:rPr>
        <w:t xml:space="preserve">(2) </w:t>
      </w:r>
      <w:r w:rsidR="00A64BDA" w:rsidRPr="000C3C52">
        <w:rPr>
          <w:rFonts w:ascii="Trebuchet MS" w:hAnsi="Trebuchet MS" w:cs="TimesNewRomanPSMT"/>
          <w:sz w:val="24"/>
          <w:szCs w:val="24"/>
        </w:rPr>
        <w:t>O</w:t>
      </w:r>
      <w:r w:rsidR="00232AD1" w:rsidRPr="000C3C52">
        <w:rPr>
          <w:rFonts w:ascii="Trebuchet MS" w:hAnsi="Trebuchet MS" w:cs="TimesNewRomanPSMT"/>
          <w:sz w:val="24"/>
          <w:szCs w:val="24"/>
        </w:rPr>
        <w:t xml:space="preserve"> entitate care acţionează în nume propriu </w:t>
      </w:r>
      <w:r w:rsidR="006524BC" w:rsidRPr="000C3C52">
        <w:rPr>
          <w:rFonts w:ascii="Trebuchet MS" w:hAnsi="Trebuchet MS" w:cs="TimesNewRomanPSMT"/>
          <w:sz w:val="24"/>
          <w:szCs w:val="24"/>
        </w:rPr>
        <w:t xml:space="preserve">recunoaşte venituri la valoarea </w:t>
      </w:r>
      <w:r w:rsidR="00A64BDA" w:rsidRPr="000C3C52">
        <w:rPr>
          <w:rFonts w:ascii="Trebuchet MS" w:hAnsi="Trebuchet MS" w:cs="TimesNewRomanPSMT"/>
          <w:sz w:val="24"/>
          <w:szCs w:val="24"/>
        </w:rPr>
        <w:t xml:space="preserve">corespunzătoare </w:t>
      </w:r>
      <w:r w:rsidR="00232AD1" w:rsidRPr="000C3C52">
        <w:rPr>
          <w:rFonts w:ascii="Trebuchet MS" w:hAnsi="Trebuchet MS" w:cs="TimesNewRomanPSMT"/>
          <w:sz w:val="24"/>
          <w:szCs w:val="24"/>
        </w:rPr>
        <w:t>bunurilor sau serviciilor transferate.</w:t>
      </w:r>
      <w:r w:rsidRPr="000C3C52">
        <w:rPr>
          <w:rFonts w:ascii="Trebuchet MS" w:hAnsi="Trebuchet MS" w:cs="TimesNewRomanPSMT"/>
          <w:sz w:val="24"/>
          <w:szCs w:val="24"/>
        </w:rPr>
        <w:t>”</w:t>
      </w:r>
    </w:p>
    <w:p w:rsidR="00887CCC" w:rsidRPr="003F1AE3" w:rsidRDefault="00887CCC" w:rsidP="00545160">
      <w:pPr>
        <w:ind w:right="-22"/>
        <w:jc w:val="both"/>
        <w:rPr>
          <w:rFonts w:ascii="Trebuchet MS" w:hAnsi="Trebuchet MS" w:cs="Arial"/>
          <w:color w:val="000000" w:themeColor="text1"/>
        </w:rPr>
      </w:pPr>
    </w:p>
    <w:p w:rsidR="00DB0685" w:rsidRPr="005F1470" w:rsidRDefault="00DB0685" w:rsidP="00545160">
      <w:pPr>
        <w:pStyle w:val="ListParagraph"/>
        <w:numPr>
          <w:ilvl w:val="0"/>
          <w:numId w:val="2"/>
        </w:numPr>
        <w:ind w:right="-22"/>
        <w:jc w:val="both"/>
        <w:rPr>
          <w:rFonts w:ascii="Trebuchet MS" w:hAnsi="Trebuchet MS" w:cs="Arial"/>
          <w:sz w:val="24"/>
          <w:szCs w:val="24"/>
        </w:rPr>
      </w:pPr>
      <w:r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După </w:t>
      </w:r>
      <w:r w:rsidR="00421DE7">
        <w:rPr>
          <w:rFonts w:ascii="Trebuchet MS" w:hAnsi="Trebuchet MS" w:cs="Arial"/>
          <w:sz w:val="24"/>
          <w:szCs w:val="24"/>
        </w:rPr>
        <w:t>punctu</w:t>
      </w:r>
      <w:r w:rsidR="00BB3D2D">
        <w:rPr>
          <w:rFonts w:ascii="Trebuchet MS" w:hAnsi="Trebuchet MS" w:cs="Arial"/>
          <w:sz w:val="24"/>
          <w:szCs w:val="24"/>
        </w:rPr>
        <w:t>l</w:t>
      </w:r>
      <w:r w:rsidRPr="005F1470">
        <w:rPr>
          <w:rFonts w:ascii="Trebuchet MS" w:hAnsi="Trebuchet MS" w:cs="Arial"/>
          <w:sz w:val="24"/>
          <w:szCs w:val="24"/>
        </w:rPr>
        <w:t xml:space="preserve"> </w:t>
      </w:r>
      <w:r w:rsidR="005E7643" w:rsidRPr="005F1470">
        <w:rPr>
          <w:rFonts w:ascii="Trebuchet MS" w:hAnsi="Trebuchet MS" w:cs="Arial"/>
          <w:sz w:val="24"/>
          <w:szCs w:val="24"/>
        </w:rPr>
        <w:t>5</w:t>
      </w:r>
      <w:r w:rsidRPr="005F1470">
        <w:rPr>
          <w:rFonts w:ascii="Trebuchet MS" w:hAnsi="Trebuchet MS" w:cs="Arial"/>
          <w:sz w:val="24"/>
          <w:szCs w:val="24"/>
        </w:rPr>
        <w:t>0</w:t>
      </w:r>
      <w:r w:rsidR="00BF1FDF" w:rsidRPr="005F1470">
        <w:rPr>
          <w:rFonts w:ascii="Trebuchet MS" w:hAnsi="Trebuchet MS" w:cs="Arial"/>
          <w:sz w:val="24"/>
          <w:szCs w:val="24"/>
        </w:rPr>
        <w:t>5</w:t>
      </w:r>
      <w:r w:rsidRPr="005F1470">
        <w:rPr>
          <w:rFonts w:ascii="Trebuchet MS" w:hAnsi="Trebuchet MS" w:cs="Arial"/>
          <w:sz w:val="24"/>
          <w:szCs w:val="24"/>
        </w:rPr>
        <w:t xml:space="preserve"> se </w:t>
      </w:r>
      <w:r w:rsidR="003A740F" w:rsidRPr="005F1470">
        <w:rPr>
          <w:rFonts w:ascii="Trebuchet MS" w:hAnsi="Trebuchet MS" w:cs="Arial"/>
          <w:sz w:val="24"/>
          <w:szCs w:val="24"/>
        </w:rPr>
        <w:t>introduce</w:t>
      </w:r>
      <w:r w:rsidRPr="005F1470">
        <w:rPr>
          <w:rFonts w:ascii="Trebuchet MS" w:hAnsi="Trebuchet MS" w:cs="Arial"/>
          <w:sz w:val="24"/>
          <w:szCs w:val="24"/>
        </w:rPr>
        <w:t xml:space="preserve"> un nou </w:t>
      </w:r>
      <w:r w:rsidR="00BF1FDF" w:rsidRPr="005F1470">
        <w:rPr>
          <w:rFonts w:ascii="Trebuchet MS" w:hAnsi="Trebuchet MS" w:cs="Arial"/>
          <w:sz w:val="24"/>
          <w:szCs w:val="24"/>
        </w:rPr>
        <w:t>punct, punctul 505</w:t>
      </w:r>
      <w:r w:rsidRPr="005F1470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5F1470">
        <w:rPr>
          <w:rFonts w:ascii="Trebuchet MS" w:hAnsi="Trebuchet MS" w:cs="Arial"/>
          <w:sz w:val="24"/>
          <w:szCs w:val="24"/>
        </w:rPr>
        <w:t>, cu următorul cuprins:</w:t>
      </w:r>
    </w:p>
    <w:p w:rsidR="00BB3D2D" w:rsidRDefault="00BF1FDF" w:rsidP="00545160">
      <w:pPr>
        <w:ind w:right="-22" w:firstLine="720"/>
        <w:jc w:val="both"/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</w:pPr>
      <w:r w:rsidRPr="005F1470">
        <w:rPr>
          <w:rFonts w:ascii="Trebuchet MS" w:hAnsi="Trebuchet MS" w:cs="Arial"/>
          <w:sz w:val="24"/>
          <w:szCs w:val="24"/>
        </w:rPr>
        <w:t>„505</w:t>
      </w:r>
      <w:r w:rsidRPr="005F1470">
        <w:rPr>
          <w:rFonts w:ascii="Trebuchet MS" w:hAnsi="Trebuchet MS" w:cs="Arial"/>
          <w:sz w:val="24"/>
          <w:szCs w:val="24"/>
          <w:vertAlign w:val="superscript"/>
        </w:rPr>
        <w:t>1</w:t>
      </w:r>
      <w:r w:rsidRPr="005F1470">
        <w:rPr>
          <w:rFonts w:ascii="Trebuchet MS" w:hAnsi="Trebuchet MS" w:cs="Arial"/>
          <w:sz w:val="24"/>
          <w:szCs w:val="24"/>
        </w:rPr>
        <w:t>. –</w:t>
      </w:r>
      <w:r w:rsidR="00BD7A55" w:rsidRPr="005F1470">
        <w:rPr>
          <w:rFonts w:ascii="Trebuchet MS" w:hAnsi="Trebuchet MS" w:cs="Arial"/>
          <w:sz w:val="24"/>
          <w:szCs w:val="24"/>
        </w:rPr>
        <w:t xml:space="preserve"> </w:t>
      </w:r>
      <w:r w:rsidR="0061184E" w:rsidRPr="005F1470">
        <w:rPr>
          <w:rFonts w:ascii="Trebuchet MS" w:hAnsi="Trebuchet MS" w:cs="Arial"/>
          <w:sz w:val="24"/>
          <w:szCs w:val="24"/>
        </w:rPr>
        <w:t xml:space="preserve">În înțelesul </w:t>
      </w:r>
      <w:r w:rsidRPr="005F1470">
        <w:rPr>
          <w:rFonts w:ascii="Trebuchet MS" w:hAnsi="Trebuchet MS" w:cs="Arial"/>
          <w:sz w:val="24"/>
          <w:szCs w:val="24"/>
        </w:rPr>
        <w:t>prezentei secțiuni,</w:t>
      </w:r>
      <w:r w:rsidR="0061184E" w:rsidRPr="005F1470">
        <w:rPr>
          <w:rFonts w:ascii="Trebuchet MS" w:hAnsi="Trebuchet MS" w:cs="Arial"/>
          <w:sz w:val="24"/>
          <w:szCs w:val="24"/>
        </w:rPr>
        <w:t xml:space="preserve"> entitățile de interes public reprezintă </w:t>
      </w:r>
      <w:r w:rsidRPr="005F1470">
        <w:rPr>
          <w:rFonts w:ascii="Trebuchet MS" w:hAnsi="Trebuchet MS" w:cs="Arial"/>
          <w:sz w:val="24"/>
          <w:szCs w:val="24"/>
        </w:rPr>
        <w:t xml:space="preserve">inclusiv </w:t>
      </w:r>
      <w:r w:rsidR="0061184E" w:rsidRPr="005F1470">
        <w:rPr>
          <w:rFonts w:ascii="Trebuchet MS" w:hAnsi="Trebuchet MS" w:cs="Arial"/>
          <w:sz w:val="24"/>
          <w:szCs w:val="24"/>
        </w:rPr>
        <w:t>filiale</w:t>
      </w:r>
      <w:r w:rsidRPr="005F1470">
        <w:rPr>
          <w:rFonts w:ascii="Trebuchet MS" w:hAnsi="Trebuchet MS" w:cs="Arial"/>
          <w:sz w:val="24"/>
          <w:szCs w:val="24"/>
        </w:rPr>
        <w:t xml:space="preserve">le </w:t>
      </w:r>
      <w:r w:rsidR="0061184E" w:rsidRPr="005F1470">
        <w:rPr>
          <w:rFonts w:ascii="Trebuchet MS" w:hAnsi="Trebuchet MS" w:cs="Arial"/>
          <w:sz w:val="24"/>
          <w:szCs w:val="24"/>
        </w:rPr>
        <w:t xml:space="preserve">ale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căror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valori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mobiliare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sunt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admise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la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tranzacționare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pe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o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piață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reglementată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din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orice</w:t>
      </w:r>
      <w:proofErr w:type="spellEnd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stat </w:t>
      </w:r>
      <w:proofErr w:type="spellStart"/>
      <w:r w:rsidR="0061184E" w:rsidRPr="005F1470">
        <w:rPr>
          <w:rFonts w:ascii="Trebuchet MS" w:eastAsiaTheme="minorHAnsi" w:hAnsi="Trebuchet MS" w:cs="Arial"/>
          <w:sz w:val="24"/>
          <w:szCs w:val="24"/>
          <w:lang w:val="en-US" w:eastAsia="en-US"/>
        </w:rPr>
        <w:t>membru</w:t>
      </w:r>
      <w:proofErr w:type="spellEnd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,</w:t>
      </w:r>
      <w:r w:rsidR="00582ED7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așa</w:t>
      </w:r>
      <w:proofErr w:type="spellEnd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 xml:space="preserve"> cum </w:t>
      </w:r>
      <w:proofErr w:type="spellStart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aceasta</w:t>
      </w:r>
      <w:proofErr w:type="spellEnd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este</w:t>
      </w:r>
      <w:proofErr w:type="spellEnd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definit</w:t>
      </w:r>
      <w:r w:rsidR="00FA06D9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ă</w:t>
      </w:r>
      <w:proofErr w:type="spellEnd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în</w:t>
      </w:r>
      <w:proofErr w:type="spellEnd"/>
      <w:r w:rsidR="00DE5DB6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Legea</w:t>
      </w:r>
      <w:proofErr w:type="spellEnd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nr. 126/2018 </w:t>
      </w:r>
      <w:proofErr w:type="spellStart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privind</w:t>
      </w:r>
      <w:proofErr w:type="spellEnd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pieţele</w:t>
      </w:r>
      <w:proofErr w:type="spellEnd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de </w:t>
      </w:r>
      <w:proofErr w:type="spellStart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instrumente</w:t>
      </w:r>
      <w:proofErr w:type="spellEnd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financiare</w:t>
      </w:r>
      <w:proofErr w:type="spellEnd"/>
      <w:r w:rsidR="00DE5DB6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,</w:t>
      </w:r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cu </w:t>
      </w:r>
      <w:proofErr w:type="spellStart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modificările</w:t>
      </w:r>
      <w:proofErr w:type="spellEnd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și</w:t>
      </w:r>
      <w:proofErr w:type="spellEnd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completările</w:t>
      </w:r>
      <w:proofErr w:type="spellEnd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 xml:space="preserve"> </w:t>
      </w:r>
      <w:proofErr w:type="spellStart"/>
      <w:r w:rsidR="00582ED7" w:rsidRPr="000C3C52">
        <w:rPr>
          <w:rFonts w:ascii="Trebuchet MS" w:eastAsiaTheme="minorHAnsi" w:hAnsi="Trebuchet MS" w:cs="Arial"/>
          <w:sz w:val="24"/>
          <w:szCs w:val="24"/>
          <w:lang w:val="en-US" w:eastAsia="en-US"/>
        </w:rPr>
        <w:t>ulterioare</w:t>
      </w:r>
      <w:proofErr w:type="spellEnd"/>
      <w:r w:rsidR="0061184E" w:rsidRPr="000C3C52"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  <w:t>.”</w:t>
      </w:r>
    </w:p>
    <w:p w:rsidR="003F1AE3" w:rsidRPr="003F1AE3" w:rsidRDefault="003F1AE3" w:rsidP="00545160">
      <w:pPr>
        <w:ind w:right="-22" w:firstLine="720"/>
        <w:jc w:val="both"/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</w:pPr>
    </w:p>
    <w:p w:rsidR="00545160" w:rsidRPr="006003F5" w:rsidRDefault="00545160" w:rsidP="00545160">
      <w:pPr>
        <w:pStyle w:val="ListParagraph"/>
        <w:ind w:left="1080" w:right="-22"/>
        <w:jc w:val="both"/>
        <w:rPr>
          <w:rFonts w:ascii="Trebuchet MS" w:eastAsiaTheme="minorHAnsi" w:hAnsi="Trebuchet MS" w:cs="Arial"/>
          <w:color w:val="000000"/>
          <w:sz w:val="24"/>
          <w:szCs w:val="24"/>
          <w:lang w:val="en-US" w:eastAsia="en-US"/>
        </w:rPr>
      </w:pPr>
    </w:p>
    <w:p w:rsidR="003F1AE3" w:rsidRDefault="009C0EC8" w:rsidP="003F1AE3">
      <w:pPr>
        <w:autoSpaceDE w:val="0"/>
        <w:autoSpaceDN w:val="0"/>
        <w:adjustRightInd w:val="0"/>
        <w:ind w:right="-22" w:firstLine="578"/>
        <w:jc w:val="both"/>
        <w:rPr>
          <w:rFonts w:ascii="Trebuchet MS" w:hAnsi="Trebuchet MS" w:cs="Arial"/>
          <w:sz w:val="24"/>
          <w:szCs w:val="24"/>
        </w:rPr>
      </w:pPr>
      <w:r w:rsidRPr="000C3C52">
        <w:rPr>
          <w:rFonts w:ascii="Trebuchet MS" w:hAnsi="Trebuchet MS" w:cs="Arial"/>
          <w:sz w:val="24"/>
          <w:szCs w:val="24"/>
          <w:lang w:val="en-US"/>
        </w:rPr>
        <w:t xml:space="preserve">Art. II. –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Reglementările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contabile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conforme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 cu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Standardele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Internaţionale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 de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Raportare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 </w:t>
      </w:r>
      <w:proofErr w:type="spellStart"/>
      <w:r w:rsidRPr="000C3C52">
        <w:rPr>
          <w:rFonts w:ascii="Trebuchet MS" w:hAnsi="Trebuchet MS" w:cs="Arial"/>
          <w:sz w:val="24"/>
          <w:szCs w:val="24"/>
          <w:lang w:val="en-US"/>
        </w:rPr>
        <w:t>Financiară</w:t>
      </w:r>
      <w:proofErr w:type="spellEnd"/>
      <w:r w:rsidRPr="000C3C52">
        <w:rPr>
          <w:rFonts w:ascii="Trebuchet MS" w:hAnsi="Trebuchet MS" w:cs="Arial"/>
          <w:sz w:val="24"/>
          <w:szCs w:val="24"/>
          <w:lang w:val="en-US"/>
        </w:rPr>
        <w:t xml:space="preserve">, </w:t>
      </w:r>
      <w:r w:rsidRPr="000C3C52">
        <w:rPr>
          <w:rFonts w:ascii="Trebuchet MS" w:hAnsi="Trebuchet MS" w:cs="Arial"/>
          <w:sz w:val="24"/>
          <w:szCs w:val="24"/>
        </w:rPr>
        <w:t xml:space="preserve">aprobate prin Ordinul ministrului finanțelor publice nr. 2.844/2016, publicat în Monitorul Oficial al României, Partea I, nr. </w:t>
      </w:r>
      <w:r w:rsidRPr="000C3C52">
        <w:rPr>
          <w:rFonts w:ascii="Trebuchet MS" w:hAnsi="Trebuchet MS" w:cs="Arial"/>
          <w:iCs/>
          <w:sz w:val="24"/>
          <w:szCs w:val="24"/>
          <w:lang w:val="en-US"/>
        </w:rPr>
        <w:t xml:space="preserve">1020 </w:t>
      </w:r>
      <w:proofErr w:type="spellStart"/>
      <w:r w:rsidRPr="000C3C52">
        <w:rPr>
          <w:rFonts w:ascii="Trebuchet MS" w:hAnsi="Trebuchet MS" w:cs="Arial"/>
          <w:iCs/>
          <w:sz w:val="24"/>
          <w:szCs w:val="24"/>
          <w:lang w:val="en-US"/>
        </w:rPr>
        <w:t>și</w:t>
      </w:r>
      <w:proofErr w:type="spellEnd"/>
      <w:r w:rsidRPr="000C3C52">
        <w:rPr>
          <w:rFonts w:ascii="Trebuchet MS" w:hAnsi="Trebuchet MS" w:cs="Arial"/>
          <w:iCs/>
          <w:sz w:val="24"/>
          <w:szCs w:val="24"/>
          <w:lang w:val="en-US"/>
        </w:rPr>
        <w:t xml:space="preserve"> 1020 </w:t>
      </w:r>
      <w:proofErr w:type="spellStart"/>
      <w:r w:rsidRPr="000C3C52">
        <w:rPr>
          <w:rFonts w:ascii="Trebuchet MS" w:hAnsi="Trebuchet MS" w:cs="Arial"/>
          <w:iCs/>
          <w:sz w:val="24"/>
          <w:szCs w:val="24"/>
          <w:lang w:val="en-US"/>
        </w:rPr>
        <w:t>bis</w:t>
      </w:r>
      <w:proofErr w:type="spellEnd"/>
      <w:r w:rsidRPr="000C3C52">
        <w:rPr>
          <w:rFonts w:ascii="Trebuchet MS" w:hAnsi="Trebuchet MS" w:cs="Arial"/>
          <w:iCs/>
          <w:sz w:val="24"/>
          <w:szCs w:val="24"/>
          <w:lang w:val="en-US"/>
        </w:rPr>
        <w:t xml:space="preserve"> din 19 </w:t>
      </w:r>
      <w:proofErr w:type="spellStart"/>
      <w:r w:rsidRPr="000C3C52">
        <w:rPr>
          <w:rFonts w:ascii="Trebuchet MS" w:hAnsi="Trebuchet MS" w:cs="Arial"/>
          <w:iCs/>
          <w:sz w:val="24"/>
          <w:szCs w:val="24"/>
          <w:lang w:val="en-US"/>
        </w:rPr>
        <w:t>decembrie</w:t>
      </w:r>
      <w:proofErr w:type="spellEnd"/>
      <w:r w:rsidRPr="000C3C52">
        <w:rPr>
          <w:rFonts w:ascii="Trebuchet MS" w:hAnsi="Trebuchet MS" w:cs="Arial"/>
          <w:iCs/>
          <w:sz w:val="24"/>
          <w:szCs w:val="24"/>
          <w:lang w:val="en-US"/>
        </w:rPr>
        <w:t xml:space="preserve"> 2016</w:t>
      </w:r>
      <w:r w:rsidRPr="000C3C52">
        <w:rPr>
          <w:rFonts w:ascii="Trebuchet MS" w:hAnsi="Trebuchet MS" w:cs="Arial"/>
          <w:sz w:val="24"/>
          <w:szCs w:val="24"/>
        </w:rPr>
        <w:t xml:space="preserve">, cu modificările și completările ulterioare, se modifică </w:t>
      </w:r>
      <w:r w:rsidR="00C149EC">
        <w:rPr>
          <w:rFonts w:ascii="Trebuchet MS" w:hAnsi="Trebuchet MS" w:cs="Arial"/>
          <w:sz w:val="24"/>
          <w:szCs w:val="24"/>
        </w:rPr>
        <w:t xml:space="preserve">și se completează </w:t>
      </w:r>
      <w:r w:rsidRPr="000C3C52">
        <w:rPr>
          <w:rFonts w:ascii="Trebuchet MS" w:hAnsi="Trebuchet MS" w:cs="Arial"/>
          <w:sz w:val="24"/>
          <w:szCs w:val="24"/>
        </w:rPr>
        <w:t>după cum urmează:</w:t>
      </w:r>
    </w:p>
    <w:p w:rsidR="003F1AE3" w:rsidRDefault="003F1AE3" w:rsidP="003F1AE3">
      <w:pPr>
        <w:autoSpaceDE w:val="0"/>
        <w:autoSpaceDN w:val="0"/>
        <w:adjustRightInd w:val="0"/>
        <w:ind w:right="-22" w:firstLine="578"/>
        <w:jc w:val="both"/>
        <w:rPr>
          <w:rFonts w:ascii="Trebuchet MS" w:hAnsi="Trebuchet MS" w:cs="Arial"/>
          <w:sz w:val="24"/>
          <w:szCs w:val="24"/>
        </w:rPr>
      </w:pPr>
    </w:p>
    <w:p w:rsidR="003F1AE3" w:rsidRDefault="00C97D0C" w:rsidP="003F1AE3">
      <w:pPr>
        <w:autoSpaceDE w:val="0"/>
        <w:autoSpaceDN w:val="0"/>
        <w:adjustRightInd w:val="0"/>
        <w:ind w:right="-22" w:firstLine="578"/>
        <w:jc w:val="both"/>
        <w:rPr>
          <w:rFonts w:ascii="Trebuchet MS" w:hAnsi="Trebuchet MS" w:cs="Arial"/>
          <w:sz w:val="24"/>
          <w:szCs w:val="24"/>
        </w:rPr>
      </w:pPr>
      <w:r w:rsidRPr="009509B4">
        <w:rPr>
          <w:rFonts w:ascii="Trebuchet MS" w:hAnsi="Trebuchet MS" w:cs="Arial"/>
          <w:color w:val="000000" w:themeColor="text1"/>
          <w:sz w:val="24"/>
          <w:szCs w:val="24"/>
        </w:rPr>
        <w:t>La punctul 66, alineatul (1) se modifică și va avea următorul cuprins:</w:t>
      </w:r>
    </w:p>
    <w:p w:rsidR="00961F6D" w:rsidRDefault="00666CBE" w:rsidP="003F1AE3">
      <w:pPr>
        <w:autoSpaceDE w:val="0"/>
        <w:autoSpaceDN w:val="0"/>
        <w:adjustRightInd w:val="0"/>
        <w:ind w:right="-22" w:firstLine="578"/>
        <w:jc w:val="both"/>
        <w:rPr>
          <w:rFonts w:ascii="Trebuchet MS" w:hAnsi="Trebuchet MS" w:cs="Arial"/>
          <w:sz w:val="24"/>
          <w:szCs w:val="24"/>
        </w:rPr>
      </w:pPr>
      <w:r w:rsidRPr="000C3C52">
        <w:rPr>
          <w:rFonts w:ascii="Trebuchet MS" w:hAnsi="Trebuchet MS" w:cs="Arial"/>
          <w:sz w:val="24"/>
          <w:szCs w:val="24"/>
          <w:lang w:eastAsia="ro-RO"/>
        </w:rPr>
        <w:t>„</w:t>
      </w:r>
      <w:r w:rsidR="005B62E0" w:rsidRPr="000C3C52">
        <w:rPr>
          <w:rFonts w:ascii="Trebuchet MS" w:hAnsi="Trebuchet MS" w:cs="Arial"/>
          <w:sz w:val="24"/>
          <w:szCs w:val="24"/>
          <w:lang w:eastAsia="ro-RO"/>
        </w:rPr>
        <w:t xml:space="preserve">(1) 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t xml:space="preserve">În cazul scoaterii din evidenţă a unei imobilizări necorporale sau corporale, sunt evidenţiate distinct veniturile generate de această operaţiune (contul 7583 </w:t>
      </w:r>
      <w:r w:rsidR="00D46B33" w:rsidRPr="000C3C52">
        <w:rPr>
          <w:rFonts w:ascii="Trebuchet MS" w:hAnsi="Trebuchet MS" w:cs="Arial"/>
          <w:sz w:val="24"/>
          <w:szCs w:val="24"/>
          <w:lang w:eastAsia="ro-RO"/>
        </w:rPr>
        <w:t>„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t xml:space="preserve">Venituri din 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lastRenderedPageBreak/>
        <w:t xml:space="preserve">vânzarea imobilizărilor </w:t>
      </w:r>
      <w:r w:rsidR="00961F6D" w:rsidRPr="00C25444">
        <w:rPr>
          <w:rFonts w:ascii="Trebuchet MS" w:hAnsi="Trebuchet MS" w:cs="Arial"/>
          <w:sz w:val="24"/>
          <w:szCs w:val="24"/>
          <w:lang w:eastAsia="ro-RO"/>
        </w:rPr>
        <w:t>necorporale şi corporale şi alte operaţiuni de capital</w:t>
      </w:r>
      <w:r w:rsidR="00D46B33" w:rsidRPr="00C25444">
        <w:rPr>
          <w:rFonts w:ascii="Trebuchet MS" w:hAnsi="Trebuchet MS" w:cs="Arial"/>
          <w:sz w:val="24"/>
          <w:szCs w:val="24"/>
          <w:lang w:eastAsia="ro-RO"/>
        </w:rPr>
        <w:t>”</w:t>
      </w:r>
      <w:r w:rsidR="00961F6D" w:rsidRPr="00C25444">
        <w:rPr>
          <w:rFonts w:ascii="Trebuchet MS" w:hAnsi="Trebuchet MS" w:cs="Arial"/>
          <w:sz w:val="24"/>
          <w:szCs w:val="24"/>
          <w:lang w:eastAsia="ro-RO"/>
        </w:rPr>
        <w:t xml:space="preserve">), cheltuielile reprezentând valoarea neamortizată a imobilizării (contul 6583 </w:t>
      </w:r>
      <w:r w:rsidR="00D46B33" w:rsidRPr="00C25444">
        <w:rPr>
          <w:rFonts w:ascii="Trebuchet MS" w:hAnsi="Trebuchet MS" w:cs="Arial"/>
          <w:iCs/>
          <w:sz w:val="24"/>
          <w:szCs w:val="24"/>
          <w:lang w:eastAsia="ro-RO"/>
        </w:rPr>
        <w:t>„</w:t>
      </w:r>
      <w:r w:rsidR="00961F6D" w:rsidRPr="00C25444">
        <w:rPr>
          <w:rFonts w:ascii="Trebuchet MS" w:hAnsi="Trebuchet MS" w:cs="Arial"/>
          <w:iCs/>
          <w:sz w:val="24"/>
          <w:szCs w:val="24"/>
          <w:lang w:eastAsia="ro-RO"/>
        </w:rPr>
        <w:t>Cheltuieli cu cedarea altor active şi alte operaţiuni de capital</w:t>
      </w:r>
      <w:r w:rsidR="00D46B33" w:rsidRPr="00C25444">
        <w:rPr>
          <w:rFonts w:ascii="Trebuchet MS" w:hAnsi="Trebuchet MS" w:cs="Arial"/>
          <w:iCs/>
          <w:sz w:val="24"/>
          <w:szCs w:val="24"/>
          <w:lang w:eastAsia="ro-RO"/>
        </w:rPr>
        <w:t>”</w:t>
      </w:r>
      <w:r w:rsidR="00961F6D" w:rsidRPr="00C25444">
        <w:rPr>
          <w:rFonts w:ascii="Trebuchet MS" w:hAnsi="Trebuchet MS" w:cs="Arial"/>
          <w:sz w:val="24"/>
          <w:szCs w:val="24"/>
          <w:lang w:eastAsia="ro-RO"/>
        </w:rPr>
        <w:t>) şi alte cheltuieli legate de cedarea acesteia. În această situaţie, eventualele ajustări pentru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t xml:space="preserve"> depreciere constituite anterior se reiau corespunzător la venituri (contul 7813 </w:t>
      </w:r>
      <w:r w:rsidR="00D46B33" w:rsidRPr="000C3C52">
        <w:rPr>
          <w:rFonts w:ascii="Trebuchet MS" w:hAnsi="Trebuchet MS" w:cs="Arial"/>
          <w:sz w:val="24"/>
          <w:szCs w:val="24"/>
          <w:lang w:eastAsia="ro-RO"/>
        </w:rPr>
        <w:t>„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t>Venituri din ajustări pentru deprecierea imobilizărilor, a investiţiilor imobiliare şi a activelor biologice productive evaluate la cost</w:t>
      </w:r>
      <w:r w:rsidR="00D46B33" w:rsidRPr="000C3C52">
        <w:rPr>
          <w:rFonts w:ascii="Trebuchet MS" w:hAnsi="Trebuchet MS" w:cs="Arial"/>
          <w:sz w:val="24"/>
          <w:szCs w:val="24"/>
          <w:lang w:eastAsia="ro-RO"/>
        </w:rPr>
        <w:t>”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t>)</w:t>
      </w:r>
      <w:r w:rsidRPr="000C3C52">
        <w:rPr>
          <w:rFonts w:ascii="Trebuchet MS" w:hAnsi="Trebuchet MS" w:cs="Arial"/>
          <w:sz w:val="24"/>
          <w:szCs w:val="24"/>
          <w:lang w:eastAsia="ro-RO"/>
        </w:rPr>
        <w:t>”</w:t>
      </w:r>
      <w:r w:rsidR="00961F6D" w:rsidRPr="000C3C52">
        <w:rPr>
          <w:rFonts w:ascii="Trebuchet MS" w:hAnsi="Trebuchet MS" w:cs="Arial"/>
          <w:sz w:val="24"/>
          <w:szCs w:val="24"/>
          <w:lang w:eastAsia="ro-RO"/>
        </w:rPr>
        <w:t>.</w:t>
      </w:r>
    </w:p>
    <w:p w:rsidR="009509B4" w:rsidRPr="00545160" w:rsidRDefault="009509B4" w:rsidP="00545160">
      <w:pPr>
        <w:autoSpaceDE w:val="0"/>
        <w:autoSpaceDN w:val="0"/>
        <w:adjustRightInd w:val="0"/>
        <w:ind w:right="-22" w:firstLine="720"/>
        <w:jc w:val="both"/>
        <w:rPr>
          <w:rFonts w:ascii="Trebuchet MS" w:hAnsi="Trebuchet MS" w:cs="Arial"/>
          <w:sz w:val="12"/>
          <w:szCs w:val="12"/>
          <w:lang w:eastAsia="ro-RO"/>
        </w:rPr>
      </w:pPr>
    </w:p>
    <w:p w:rsidR="00610F48" w:rsidRPr="000C3C52" w:rsidRDefault="00610F48" w:rsidP="00545160">
      <w:pPr>
        <w:ind w:right="-22"/>
        <w:rPr>
          <w:rFonts w:ascii="Trebuchet MS" w:hAnsi="Trebuchet MS" w:cs="Arial"/>
          <w:sz w:val="24"/>
          <w:szCs w:val="24"/>
        </w:rPr>
      </w:pPr>
    </w:p>
    <w:p w:rsidR="00C54071" w:rsidRDefault="00BF632C" w:rsidP="00545160">
      <w:pPr>
        <w:tabs>
          <w:tab w:val="left" w:pos="2160"/>
          <w:tab w:val="left" w:pos="2340"/>
        </w:tabs>
        <w:ind w:right="-22" w:firstLine="72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  <w:r>
        <w:rPr>
          <w:rFonts w:ascii="Trebuchet MS" w:hAnsi="Trebuchet MS" w:cs="Arial"/>
          <w:color w:val="000000" w:themeColor="text1"/>
          <w:sz w:val="24"/>
          <w:szCs w:val="24"/>
        </w:rPr>
        <w:t>Art. III</w:t>
      </w:r>
      <w:r w:rsidR="00BD3F19" w:rsidRPr="000C3C52">
        <w:rPr>
          <w:rFonts w:ascii="Trebuchet MS" w:hAnsi="Trebuchet MS" w:cs="Arial"/>
          <w:color w:val="000000" w:themeColor="text1"/>
          <w:sz w:val="24"/>
          <w:szCs w:val="24"/>
        </w:rPr>
        <w:t xml:space="preserve">. – </w:t>
      </w:r>
      <w:r w:rsidR="00C54071" w:rsidRPr="000C3C52">
        <w:rPr>
          <w:rFonts w:ascii="Trebuchet MS" w:hAnsi="Trebuchet MS" w:cs="Arial"/>
          <w:color w:val="000000" w:themeColor="text1"/>
          <w:sz w:val="24"/>
          <w:szCs w:val="24"/>
        </w:rPr>
        <w:t>Prezentul ordin se publică în Monitorul Oficial al României, Partea I.</w:t>
      </w:r>
    </w:p>
    <w:p w:rsidR="00A93177" w:rsidRDefault="00A93177" w:rsidP="00545160">
      <w:pPr>
        <w:tabs>
          <w:tab w:val="left" w:pos="2160"/>
          <w:tab w:val="left" w:pos="2340"/>
        </w:tabs>
        <w:ind w:right="-22" w:firstLine="720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C54071" w:rsidRPr="008C3D31" w:rsidRDefault="00C54071" w:rsidP="00545160">
      <w:pPr>
        <w:tabs>
          <w:tab w:val="left" w:pos="2160"/>
          <w:tab w:val="left" w:pos="2340"/>
        </w:tabs>
        <w:ind w:right="-22"/>
        <w:jc w:val="both"/>
        <w:rPr>
          <w:rFonts w:ascii="Trebuchet MS" w:hAnsi="Trebuchet MS" w:cs="Arial"/>
          <w:color w:val="000000" w:themeColor="text1"/>
          <w:sz w:val="24"/>
          <w:szCs w:val="24"/>
        </w:rPr>
      </w:pPr>
    </w:p>
    <w:p w:rsidR="00C54071" w:rsidRPr="008C3D31" w:rsidRDefault="00C54071" w:rsidP="008C3D31">
      <w:pPr>
        <w:autoSpaceDE w:val="0"/>
        <w:ind w:right="-22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  <w:r w:rsidRPr="008C3D31">
        <w:rPr>
          <w:rFonts w:ascii="Trebuchet MS" w:hAnsi="Trebuchet MS" w:cs="Arial"/>
          <w:b/>
          <w:color w:val="000000" w:themeColor="text1"/>
          <w:sz w:val="24"/>
          <w:szCs w:val="24"/>
        </w:rPr>
        <w:t>Ministrul finanțelor,</w:t>
      </w:r>
    </w:p>
    <w:p w:rsidR="00FE4057" w:rsidRPr="008C3D31" w:rsidRDefault="00FE4057" w:rsidP="00545160">
      <w:pPr>
        <w:autoSpaceDE w:val="0"/>
        <w:ind w:left="142" w:right="-22"/>
        <w:jc w:val="center"/>
        <w:rPr>
          <w:rFonts w:ascii="Trebuchet MS" w:hAnsi="Trebuchet MS" w:cs="Arial"/>
          <w:b/>
          <w:color w:val="000000" w:themeColor="text1"/>
          <w:sz w:val="24"/>
          <w:szCs w:val="24"/>
        </w:rPr>
      </w:pPr>
    </w:p>
    <w:p w:rsidR="003F1B55" w:rsidRPr="008C3D31" w:rsidRDefault="00FE4057" w:rsidP="008C3D31">
      <w:pPr>
        <w:ind w:right="-22"/>
        <w:jc w:val="center"/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</w:pPr>
      <w:r w:rsidRPr="008C3D31"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  <w:t>Dan VÎLCEAN</w:t>
      </w:r>
      <w:r w:rsidR="003F1B55" w:rsidRPr="008C3D31"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  <w:t>U</w:t>
      </w:r>
    </w:p>
    <w:p w:rsidR="00545160" w:rsidRPr="008C3D31" w:rsidRDefault="00545160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</w:pPr>
    </w:p>
    <w:p w:rsidR="008C3D31" w:rsidRPr="008C3D31" w:rsidRDefault="008C3D31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color w:val="000000" w:themeColor="text1"/>
          <w:sz w:val="24"/>
          <w:szCs w:val="24"/>
        </w:rPr>
      </w:pPr>
    </w:p>
    <w:p w:rsidR="00545160" w:rsidRPr="008C3D31" w:rsidRDefault="008C3D31" w:rsidP="008C3D31">
      <w:pPr>
        <w:ind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  <w:r w:rsidRPr="008C3D31">
        <w:rPr>
          <w:rFonts w:ascii="Trebuchet MS" w:hAnsi="Trebuchet MS" w:cs="Arial"/>
          <w:b/>
          <w:bCs/>
          <w:iCs/>
          <w:sz w:val="24"/>
          <w:szCs w:val="24"/>
        </w:rPr>
        <w:t>Secretar general,</w:t>
      </w:r>
    </w:p>
    <w:p w:rsidR="008C3D31" w:rsidRPr="008C3D31" w:rsidRDefault="008C3D31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p w:rsidR="008C3D31" w:rsidRPr="008C3D31" w:rsidRDefault="008C3D31" w:rsidP="008C3D31">
      <w:pPr>
        <w:ind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  <w:r w:rsidRPr="008C3D31">
        <w:rPr>
          <w:rFonts w:ascii="Trebuchet MS" w:hAnsi="Trebuchet MS" w:cs="Arial"/>
          <w:b/>
          <w:bCs/>
          <w:iCs/>
          <w:sz w:val="24"/>
          <w:szCs w:val="24"/>
        </w:rPr>
        <w:t>Marius ZINCA</w:t>
      </w:r>
    </w:p>
    <w:p w:rsidR="008C3D31" w:rsidRDefault="008C3D31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p w:rsidR="003F1AE3" w:rsidRPr="008C3D31" w:rsidRDefault="003F1AE3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p w:rsidR="008C3D31" w:rsidRPr="008C3D31" w:rsidRDefault="008C3D31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F1AE3" w:rsidRPr="00E5217E" w:rsidTr="003F1AE3">
        <w:tc>
          <w:tcPr>
            <w:tcW w:w="4788" w:type="dxa"/>
          </w:tcPr>
          <w:p w:rsidR="003F1AE3" w:rsidRPr="00E5217E" w:rsidRDefault="003F1AE3" w:rsidP="003F1AE3">
            <w:pPr>
              <w:tabs>
                <w:tab w:val="left" w:pos="9921"/>
              </w:tabs>
              <w:ind w:right="48"/>
              <w:jc w:val="center"/>
              <w:rPr>
                <w:rFonts w:ascii="Trebuchet MS" w:hAnsi="Trebuchet MS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5217E">
              <w:rPr>
                <w:rFonts w:ascii="Trebuchet MS" w:hAnsi="Trebuchet MS" w:cs="Arial"/>
                <w:b/>
                <w:bCs/>
                <w:iCs/>
                <w:color w:val="000000" w:themeColor="text1"/>
                <w:sz w:val="24"/>
                <w:szCs w:val="24"/>
              </w:rPr>
              <w:t>Secretar de stat,</w:t>
            </w:r>
          </w:p>
          <w:p w:rsidR="003F1AE3" w:rsidRPr="00E5217E" w:rsidRDefault="003F1AE3" w:rsidP="003F1AE3">
            <w:pPr>
              <w:tabs>
                <w:tab w:val="left" w:pos="9921"/>
              </w:tabs>
              <w:ind w:right="48"/>
              <w:jc w:val="center"/>
              <w:rPr>
                <w:rFonts w:ascii="Trebuchet MS" w:hAnsi="Trebuchet MS" w:cs="Arial"/>
                <w:b/>
                <w:bCs/>
                <w:iCs/>
                <w:color w:val="000000" w:themeColor="text1"/>
              </w:rPr>
            </w:pPr>
          </w:p>
          <w:p w:rsidR="003F1AE3" w:rsidRPr="00E5217E" w:rsidRDefault="003F1AE3" w:rsidP="003F1AE3">
            <w:pPr>
              <w:pStyle w:val="BodyText"/>
              <w:spacing w:after="0" w:line="240" w:lineRule="auto"/>
              <w:ind w:right="48"/>
              <w:jc w:val="center"/>
              <w:rPr>
                <w:rFonts w:ascii="Trebuchet MS" w:hAnsi="Trebuchet MS" w:cs="Arial"/>
                <w:b/>
                <w:bCs/>
                <w:color w:val="000000" w:themeColor="text1"/>
              </w:rPr>
            </w:pPr>
            <w:r w:rsidRPr="00E5217E">
              <w:rPr>
                <w:rFonts w:ascii="Trebuchet MS" w:hAnsi="Trebuchet MS" w:cs="Arial"/>
                <w:b/>
                <w:bCs/>
                <w:color w:val="000000" w:themeColor="text1"/>
              </w:rPr>
              <w:t>Alin CHITU</w:t>
            </w:r>
          </w:p>
          <w:p w:rsidR="003F1AE3" w:rsidRPr="00E5217E" w:rsidRDefault="003F1AE3" w:rsidP="003F1AE3">
            <w:pPr>
              <w:pStyle w:val="BodyText"/>
              <w:spacing w:after="0" w:line="240" w:lineRule="auto"/>
              <w:ind w:right="48"/>
              <w:jc w:val="center"/>
              <w:rPr>
                <w:rFonts w:ascii="Trebuchet MS" w:hAnsi="Trebuchet MS" w:cs="Arial"/>
                <w:b/>
                <w:bCs/>
                <w:color w:val="000000" w:themeColor="text1"/>
              </w:rPr>
            </w:pPr>
          </w:p>
        </w:tc>
        <w:tc>
          <w:tcPr>
            <w:tcW w:w="4788" w:type="dxa"/>
          </w:tcPr>
          <w:p w:rsidR="003F1AE3" w:rsidRPr="00E5217E" w:rsidRDefault="003F1AE3" w:rsidP="003F1AE3">
            <w:pPr>
              <w:tabs>
                <w:tab w:val="left" w:pos="9921"/>
              </w:tabs>
              <w:ind w:right="48"/>
              <w:jc w:val="center"/>
              <w:rPr>
                <w:rFonts w:ascii="Trebuchet MS" w:hAnsi="Trebuchet MS" w:cs="Arial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E5217E">
              <w:rPr>
                <w:rFonts w:ascii="Trebuchet MS" w:hAnsi="Trebuchet MS" w:cs="Arial"/>
                <w:b/>
                <w:bCs/>
                <w:iCs/>
                <w:color w:val="000000" w:themeColor="text1"/>
                <w:sz w:val="24"/>
                <w:szCs w:val="24"/>
              </w:rPr>
              <w:t>Secretar de stat,</w:t>
            </w:r>
          </w:p>
          <w:p w:rsidR="003F1AE3" w:rsidRPr="00E5217E" w:rsidRDefault="003F1AE3" w:rsidP="003F1AE3">
            <w:pPr>
              <w:tabs>
                <w:tab w:val="left" w:pos="9921"/>
              </w:tabs>
              <w:ind w:right="48"/>
              <w:jc w:val="center"/>
              <w:rPr>
                <w:rFonts w:ascii="Trebuchet MS" w:hAnsi="Trebuchet MS" w:cs="Arial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3F1AE3" w:rsidRPr="00E5217E" w:rsidRDefault="003F1AE3" w:rsidP="003F1AE3">
            <w:pPr>
              <w:pStyle w:val="BodyText"/>
              <w:spacing w:after="0" w:line="240" w:lineRule="auto"/>
              <w:ind w:right="48"/>
              <w:jc w:val="center"/>
              <w:rPr>
                <w:rFonts w:ascii="Trebuchet MS" w:hAnsi="Trebuchet MS" w:cs="Arial"/>
                <w:b/>
                <w:bCs/>
                <w:iCs/>
                <w:color w:val="000000" w:themeColor="text1"/>
              </w:rPr>
            </w:pPr>
            <w:r w:rsidRPr="00E5217E">
              <w:rPr>
                <w:rFonts w:ascii="Trebuchet MS" w:hAnsi="Trebuchet MS" w:cs="Arial"/>
                <w:b/>
                <w:bCs/>
                <w:color w:val="000000" w:themeColor="text1"/>
              </w:rPr>
              <w:t>György ATTILA</w:t>
            </w:r>
          </w:p>
        </w:tc>
      </w:tr>
    </w:tbl>
    <w:p w:rsidR="008C3D31" w:rsidRDefault="008C3D31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p w:rsidR="005F1382" w:rsidRDefault="005F1382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p w:rsidR="008C3D31" w:rsidRPr="008C3D31" w:rsidRDefault="008C3D31" w:rsidP="00545160">
      <w:pPr>
        <w:tabs>
          <w:tab w:val="left" w:pos="9921"/>
        </w:tabs>
        <w:ind w:left="142" w:right="-22"/>
        <w:jc w:val="center"/>
        <w:rPr>
          <w:rFonts w:ascii="Trebuchet MS" w:hAnsi="Trebuchet MS" w:cs="Arial"/>
          <w:b/>
          <w:bCs/>
          <w:iCs/>
          <w:sz w:val="24"/>
          <w:szCs w:val="24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3F1AE3" w:rsidRPr="0055422F" w:rsidTr="003F1AE3">
        <w:tc>
          <w:tcPr>
            <w:tcW w:w="5211" w:type="dxa"/>
            <w:hideMark/>
          </w:tcPr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 xml:space="preserve">Direcţia Generală de Legislaţie Fiscală </w:t>
            </w:r>
          </w:p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>și Reglementări Vamale şi Contabile</w:t>
            </w:r>
          </w:p>
        </w:tc>
        <w:tc>
          <w:tcPr>
            <w:tcW w:w="4820" w:type="dxa"/>
          </w:tcPr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>Direcția generală juridică</w:t>
            </w:r>
          </w:p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>Aviz favorabil,</w:t>
            </w:r>
          </w:p>
          <w:p w:rsidR="003F1AE3" w:rsidRPr="0055422F" w:rsidRDefault="003F1AE3" w:rsidP="003F1AE3">
            <w:pPr>
              <w:autoSpaceDE w:val="0"/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3F1AE3" w:rsidRPr="0055422F" w:rsidTr="003F1AE3">
        <w:tc>
          <w:tcPr>
            <w:tcW w:w="5211" w:type="dxa"/>
            <w:hideMark/>
          </w:tcPr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>Iulian ARDELEANU</w:t>
            </w:r>
          </w:p>
        </w:tc>
        <w:tc>
          <w:tcPr>
            <w:tcW w:w="4820" w:type="dxa"/>
          </w:tcPr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 xml:space="preserve">Ciprian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Sebastian </w:t>
            </w: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>BADEA</w:t>
            </w:r>
          </w:p>
        </w:tc>
      </w:tr>
      <w:tr w:rsidR="003F1AE3" w:rsidRPr="0055422F" w:rsidTr="003F1AE3">
        <w:tc>
          <w:tcPr>
            <w:tcW w:w="5211" w:type="dxa"/>
            <w:hideMark/>
          </w:tcPr>
          <w:p w:rsidR="003F1AE3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>Director general</w:t>
            </w:r>
          </w:p>
        </w:tc>
        <w:tc>
          <w:tcPr>
            <w:tcW w:w="4820" w:type="dxa"/>
          </w:tcPr>
          <w:p w:rsidR="003F1AE3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55422F">
              <w:rPr>
                <w:rFonts w:ascii="Trebuchet MS" w:hAnsi="Trebuchet MS" w:cs="Arial"/>
                <w:b/>
                <w:sz w:val="24"/>
                <w:szCs w:val="24"/>
              </w:rPr>
              <w:t xml:space="preserve">Director general </w:t>
            </w:r>
          </w:p>
          <w:p w:rsidR="003F1AE3" w:rsidRPr="0055422F" w:rsidRDefault="003F1AE3" w:rsidP="003F1AE3">
            <w:pPr>
              <w:ind w:right="48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5F1382" w:rsidRDefault="005F1382" w:rsidP="005F1382">
      <w:pPr>
        <w:spacing w:after="240"/>
        <w:jc w:val="center"/>
        <w:rPr>
          <w:rFonts w:ascii="Trebuchet MS" w:hAnsi="Trebuchet MS" w:cs="Arial"/>
          <w:b/>
          <w:sz w:val="24"/>
          <w:szCs w:val="24"/>
          <w:lang w:val="it-IT"/>
        </w:rPr>
      </w:pPr>
    </w:p>
    <w:p w:rsidR="008C3D31" w:rsidRPr="005F1382" w:rsidRDefault="008C3D31" w:rsidP="005F1382">
      <w:pPr>
        <w:spacing w:after="240"/>
        <w:jc w:val="center"/>
        <w:rPr>
          <w:rFonts w:ascii="Trebuchet MS" w:hAnsi="Trebuchet MS" w:cs="Arial"/>
          <w:sz w:val="24"/>
          <w:szCs w:val="24"/>
          <w:lang w:val="fr-FR"/>
        </w:rPr>
      </w:pP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Direcţia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de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Legislaţie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şi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Reglementări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Contabile</w:t>
      </w:r>
      <w:proofErr w:type="spellEnd"/>
    </w:p>
    <w:p w:rsidR="008C3D31" w:rsidRPr="005F1382" w:rsidRDefault="008C3D31" w:rsidP="005F1382">
      <w:pPr>
        <w:spacing w:after="240"/>
        <w:jc w:val="center"/>
        <w:rPr>
          <w:rFonts w:ascii="Trebuchet MS" w:hAnsi="Trebuchet MS" w:cs="Arial"/>
          <w:sz w:val="24"/>
          <w:szCs w:val="24"/>
          <w:lang w:val="fr-FR"/>
        </w:rPr>
      </w:pPr>
      <w:r w:rsidRPr="005F1382">
        <w:rPr>
          <w:rFonts w:ascii="Trebuchet MS" w:hAnsi="Trebuchet MS" w:cs="Arial"/>
          <w:sz w:val="24"/>
          <w:szCs w:val="24"/>
          <w:lang w:val="fr-FR"/>
        </w:rPr>
        <w:t xml:space="preserve">Alexandra LAZĂR,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Director</w:t>
      </w:r>
      <w:proofErr w:type="spellEnd"/>
    </w:p>
    <w:p w:rsidR="008C3D31" w:rsidRPr="005F1382" w:rsidRDefault="008C3D31" w:rsidP="005F1382">
      <w:pPr>
        <w:spacing w:after="240"/>
        <w:jc w:val="center"/>
        <w:rPr>
          <w:rFonts w:ascii="Trebuchet MS" w:hAnsi="Trebuchet MS" w:cs="Arial"/>
          <w:sz w:val="24"/>
          <w:szCs w:val="24"/>
          <w:lang w:val="fr-FR"/>
        </w:rPr>
      </w:pPr>
      <w:r w:rsidRPr="005F1382">
        <w:rPr>
          <w:rFonts w:ascii="Trebuchet MS" w:hAnsi="Trebuchet MS" w:cs="Arial"/>
          <w:sz w:val="24"/>
          <w:szCs w:val="24"/>
          <w:lang w:val="fr-FR"/>
        </w:rPr>
        <w:t xml:space="preserve">Monica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Marilena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AVRAM,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Director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adjunct</w:t>
      </w:r>
      <w:proofErr w:type="spellEnd"/>
    </w:p>
    <w:p w:rsidR="003F1AE3" w:rsidRDefault="008C3D31" w:rsidP="005F1382">
      <w:pPr>
        <w:spacing w:after="240"/>
        <w:jc w:val="center"/>
        <w:rPr>
          <w:rFonts w:ascii="Trebuchet MS" w:hAnsi="Trebuchet MS" w:cs="Arial"/>
          <w:sz w:val="24"/>
          <w:szCs w:val="24"/>
          <w:lang w:val="fr-FR"/>
        </w:rPr>
      </w:pPr>
      <w:r w:rsidRPr="005F1382">
        <w:rPr>
          <w:rFonts w:ascii="Trebuchet MS" w:hAnsi="Trebuchet MS" w:cs="Arial"/>
          <w:sz w:val="24"/>
          <w:szCs w:val="24"/>
          <w:lang w:val="fr-FR"/>
        </w:rPr>
        <w:t>Elena IANCU, Ș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ef</w:t>
      </w:r>
      <w:proofErr w:type="spellEnd"/>
      <w:r w:rsidRPr="005F1382">
        <w:rPr>
          <w:rFonts w:ascii="Trebuchet MS" w:hAnsi="Trebuchet MS" w:cs="Arial"/>
          <w:sz w:val="24"/>
          <w:szCs w:val="24"/>
          <w:lang w:val="fr-FR"/>
        </w:rPr>
        <w:t xml:space="preserve"> </w:t>
      </w:r>
      <w:proofErr w:type="spellStart"/>
      <w:r w:rsidRPr="005F1382">
        <w:rPr>
          <w:rFonts w:ascii="Trebuchet MS" w:hAnsi="Trebuchet MS" w:cs="Arial"/>
          <w:sz w:val="24"/>
          <w:szCs w:val="24"/>
          <w:lang w:val="fr-FR"/>
        </w:rPr>
        <w:t>serviciu</w:t>
      </w:r>
      <w:proofErr w:type="spellEnd"/>
    </w:p>
    <w:p w:rsidR="003F1AE3" w:rsidRDefault="003F1AE3" w:rsidP="005F1382">
      <w:pPr>
        <w:spacing w:after="240"/>
        <w:jc w:val="center"/>
        <w:rPr>
          <w:rFonts w:ascii="Trebuchet MS" w:hAnsi="Trebuchet MS" w:cs="Arial"/>
          <w:sz w:val="24"/>
          <w:szCs w:val="24"/>
          <w:lang w:val="fr-FR"/>
        </w:rPr>
      </w:pPr>
    </w:p>
    <w:p w:rsidR="003F1AE3" w:rsidRPr="005F1382" w:rsidRDefault="003F1AE3" w:rsidP="003F1AE3">
      <w:pPr>
        <w:spacing w:after="240"/>
        <w:jc w:val="both"/>
        <w:rPr>
          <w:rFonts w:ascii="Trebuchet MS" w:hAnsi="Trebuchet MS" w:cs="Arial"/>
          <w:sz w:val="24"/>
          <w:szCs w:val="24"/>
          <w:lang w:val="fr-FR"/>
        </w:rPr>
      </w:pPr>
      <w:r>
        <w:rPr>
          <w:rFonts w:ascii="Trebuchet MS" w:hAnsi="Trebuchet MS" w:cs="Arial"/>
          <w:sz w:val="24"/>
          <w:szCs w:val="24"/>
          <w:lang w:val="fr-FR"/>
        </w:rPr>
        <w:t>Nr.          /               .2021</w:t>
      </w:r>
    </w:p>
    <w:sectPr w:rsidR="003F1AE3" w:rsidRPr="005F1382" w:rsidSect="003F1AE3">
      <w:headerReference w:type="default" r:id="rId8"/>
      <w:footerReference w:type="default" r:id="rId9"/>
      <w:pgSz w:w="12240" w:h="15840"/>
      <w:pgMar w:top="1134" w:right="75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32C" w:rsidRDefault="00BF632C" w:rsidP="00F12DCA">
      <w:r>
        <w:separator/>
      </w:r>
    </w:p>
  </w:endnote>
  <w:endnote w:type="continuationSeparator" w:id="1">
    <w:p w:rsidR="00BF632C" w:rsidRDefault="00BF632C" w:rsidP="00F12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7453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632C" w:rsidRDefault="00BF632C">
        <w:pPr>
          <w:pStyle w:val="Footer"/>
          <w:jc w:val="right"/>
        </w:pPr>
        <w:fldSimple w:instr=" PAGE   \* MERGEFORMAT ">
          <w:r w:rsidR="004F3154">
            <w:rPr>
              <w:noProof/>
            </w:rPr>
            <w:t>2</w:t>
          </w:r>
        </w:fldSimple>
      </w:p>
    </w:sdtContent>
  </w:sdt>
  <w:p w:rsidR="00BF632C" w:rsidRDefault="00BF6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32C" w:rsidRDefault="00BF632C" w:rsidP="00F12DCA">
      <w:r>
        <w:separator/>
      </w:r>
    </w:p>
  </w:footnote>
  <w:footnote w:type="continuationSeparator" w:id="1">
    <w:p w:rsidR="00BF632C" w:rsidRDefault="00BF632C" w:rsidP="00F12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2C" w:rsidRDefault="00BF63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644"/>
    <w:multiLevelType w:val="hybridMultilevel"/>
    <w:tmpl w:val="0E5AF71A"/>
    <w:lvl w:ilvl="0" w:tplc="4898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D461F"/>
    <w:multiLevelType w:val="hybridMultilevel"/>
    <w:tmpl w:val="0E5AF71A"/>
    <w:lvl w:ilvl="0" w:tplc="48983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E2141"/>
    <w:multiLevelType w:val="hybridMultilevel"/>
    <w:tmpl w:val="1FD21C0A"/>
    <w:lvl w:ilvl="0" w:tplc="86084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D741E"/>
    <w:multiLevelType w:val="hybridMultilevel"/>
    <w:tmpl w:val="08E0B77E"/>
    <w:lvl w:ilvl="0" w:tplc="6B96BC2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95D71"/>
    <w:rsid w:val="000000F7"/>
    <w:rsid w:val="00012E14"/>
    <w:rsid w:val="00014FF2"/>
    <w:rsid w:val="00015BA1"/>
    <w:rsid w:val="00032EEF"/>
    <w:rsid w:val="00043A3F"/>
    <w:rsid w:val="00050717"/>
    <w:rsid w:val="000563E1"/>
    <w:rsid w:val="00063476"/>
    <w:rsid w:val="00075272"/>
    <w:rsid w:val="00091D05"/>
    <w:rsid w:val="00095D71"/>
    <w:rsid w:val="000B1D8B"/>
    <w:rsid w:val="000B2CC4"/>
    <w:rsid w:val="000C01A6"/>
    <w:rsid w:val="000C3C52"/>
    <w:rsid w:val="000E5C41"/>
    <w:rsid w:val="000F5317"/>
    <w:rsid w:val="00102962"/>
    <w:rsid w:val="00111DF3"/>
    <w:rsid w:val="001130DD"/>
    <w:rsid w:val="00113A61"/>
    <w:rsid w:val="001208D6"/>
    <w:rsid w:val="00140AC3"/>
    <w:rsid w:val="00147C80"/>
    <w:rsid w:val="0015053E"/>
    <w:rsid w:val="00156246"/>
    <w:rsid w:val="00181919"/>
    <w:rsid w:val="001864FB"/>
    <w:rsid w:val="001A1651"/>
    <w:rsid w:val="001A4CB0"/>
    <w:rsid w:val="001B7A69"/>
    <w:rsid w:val="001D225D"/>
    <w:rsid w:val="001E0350"/>
    <w:rsid w:val="001E0575"/>
    <w:rsid w:val="001E4DDF"/>
    <w:rsid w:val="001F24BF"/>
    <w:rsid w:val="001F42C1"/>
    <w:rsid w:val="001F76C4"/>
    <w:rsid w:val="00206754"/>
    <w:rsid w:val="00214345"/>
    <w:rsid w:val="0022421C"/>
    <w:rsid w:val="002264DB"/>
    <w:rsid w:val="00232AD1"/>
    <w:rsid w:val="00234BDB"/>
    <w:rsid w:val="002440F2"/>
    <w:rsid w:val="0025301E"/>
    <w:rsid w:val="00256466"/>
    <w:rsid w:val="002707E2"/>
    <w:rsid w:val="0028729D"/>
    <w:rsid w:val="00290E94"/>
    <w:rsid w:val="00294D79"/>
    <w:rsid w:val="002A0EE2"/>
    <w:rsid w:val="002A3B3A"/>
    <w:rsid w:val="002B0A6D"/>
    <w:rsid w:val="002D03A0"/>
    <w:rsid w:val="002F19D7"/>
    <w:rsid w:val="002F21B0"/>
    <w:rsid w:val="002F3566"/>
    <w:rsid w:val="002F4212"/>
    <w:rsid w:val="00307C9B"/>
    <w:rsid w:val="003264DB"/>
    <w:rsid w:val="00326C0F"/>
    <w:rsid w:val="00330A1A"/>
    <w:rsid w:val="00333DCA"/>
    <w:rsid w:val="00353076"/>
    <w:rsid w:val="003708C9"/>
    <w:rsid w:val="00383E32"/>
    <w:rsid w:val="00392A09"/>
    <w:rsid w:val="003A6FB8"/>
    <w:rsid w:val="003A740F"/>
    <w:rsid w:val="003B5F70"/>
    <w:rsid w:val="003D5566"/>
    <w:rsid w:val="003F1AE3"/>
    <w:rsid w:val="003F1B55"/>
    <w:rsid w:val="003F310D"/>
    <w:rsid w:val="00404137"/>
    <w:rsid w:val="004107A0"/>
    <w:rsid w:val="00421DE7"/>
    <w:rsid w:val="004355A3"/>
    <w:rsid w:val="00440DBE"/>
    <w:rsid w:val="004439AA"/>
    <w:rsid w:val="004469C3"/>
    <w:rsid w:val="00450049"/>
    <w:rsid w:val="0046415A"/>
    <w:rsid w:val="004644E6"/>
    <w:rsid w:val="00480ADB"/>
    <w:rsid w:val="004869AD"/>
    <w:rsid w:val="00497060"/>
    <w:rsid w:val="004A3892"/>
    <w:rsid w:val="004A4E8E"/>
    <w:rsid w:val="004B36DA"/>
    <w:rsid w:val="004B5343"/>
    <w:rsid w:val="004C092A"/>
    <w:rsid w:val="004C2A43"/>
    <w:rsid w:val="004C37B8"/>
    <w:rsid w:val="004C5AB4"/>
    <w:rsid w:val="004C7EAA"/>
    <w:rsid w:val="004D4BE0"/>
    <w:rsid w:val="004D74A1"/>
    <w:rsid w:val="004E5913"/>
    <w:rsid w:val="004E7680"/>
    <w:rsid w:val="004F3154"/>
    <w:rsid w:val="00503970"/>
    <w:rsid w:val="00514866"/>
    <w:rsid w:val="00515D11"/>
    <w:rsid w:val="00520309"/>
    <w:rsid w:val="0053110A"/>
    <w:rsid w:val="005319D0"/>
    <w:rsid w:val="00536F5C"/>
    <w:rsid w:val="005431FA"/>
    <w:rsid w:val="00545160"/>
    <w:rsid w:val="00551350"/>
    <w:rsid w:val="005636BC"/>
    <w:rsid w:val="00567329"/>
    <w:rsid w:val="00581413"/>
    <w:rsid w:val="0058147D"/>
    <w:rsid w:val="00582ED7"/>
    <w:rsid w:val="00596E43"/>
    <w:rsid w:val="00597385"/>
    <w:rsid w:val="005B62E0"/>
    <w:rsid w:val="005C1BF8"/>
    <w:rsid w:val="005C7A04"/>
    <w:rsid w:val="005D10E1"/>
    <w:rsid w:val="005E441A"/>
    <w:rsid w:val="005E7643"/>
    <w:rsid w:val="005F1297"/>
    <w:rsid w:val="005F1382"/>
    <w:rsid w:val="005F1470"/>
    <w:rsid w:val="006003F5"/>
    <w:rsid w:val="0060592E"/>
    <w:rsid w:val="00610F48"/>
    <w:rsid w:val="0061184E"/>
    <w:rsid w:val="00613F82"/>
    <w:rsid w:val="00645487"/>
    <w:rsid w:val="006524BC"/>
    <w:rsid w:val="00663514"/>
    <w:rsid w:val="00663891"/>
    <w:rsid w:val="00666CBE"/>
    <w:rsid w:val="00680CDC"/>
    <w:rsid w:val="006A49F7"/>
    <w:rsid w:val="006C2886"/>
    <w:rsid w:val="006C6259"/>
    <w:rsid w:val="006D44AF"/>
    <w:rsid w:val="006D6D6E"/>
    <w:rsid w:val="006E6120"/>
    <w:rsid w:val="00704A4F"/>
    <w:rsid w:val="00727E69"/>
    <w:rsid w:val="007442A1"/>
    <w:rsid w:val="00757B84"/>
    <w:rsid w:val="007617DD"/>
    <w:rsid w:val="0076180F"/>
    <w:rsid w:val="007629D9"/>
    <w:rsid w:val="0078087E"/>
    <w:rsid w:val="007A30AA"/>
    <w:rsid w:val="007B2CE4"/>
    <w:rsid w:val="007C6948"/>
    <w:rsid w:val="007E43DB"/>
    <w:rsid w:val="007E57E6"/>
    <w:rsid w:val="007F0D27"/>
    <w:rsid w:val="007F6696"/>
    <w:rsid w:val="007F6740"/>
    <w:rsid w:val="00823B0A"/>
    <w:rsid w:val="00840A79"/>
    <w:rsid w:val="00850737"/>
    <w:rsid w:val="00884445"/>
    <w:rsid w:val="00887CCC"/>
    <w:rsid w:val="0089035B"/>
    <w:rsid w:val="00891C43"/>
    <w:rsid w:val="008A0F70"/>
    <w:rsid w:val="008B018D"/>
    <w:rsid w:val="008B2258"/>
    <w:rsid w:val="008B3CF8"/>
    <w:rsid w:val="008B7B4F"/>
    <w:rsid w:val="008C0C1C"/>
    <w:rsid w:val="008C3D31"/>
    <w:rsid w:val="008D518E"/>
    <w:rsid w:val="008E508C"/>
    <w:rsid w:val="008F1A14"/>
    <w:rsid w:val="00904A4D"/>
    <w:rsid w:val="00910DCD"/>
    <w:rsid w:val="00917255"/>
    <w:rsid w:val="00925798"/>
    <w:rsid w:val="009317BB"/>
    <w:rsid w:val="00945B6C"/>
    <w:rsid w:val="00950336"/>
    <w:rsid w:val="009509B4"/>
    <w:rsid w:val="0095232A"/>
    <w:rsid w:val="00952494"/>
    <w:rsid w:val="00955D8A"/>
    <w:rsid w:val="00961F6D"/>
    <w:rsid w:val="009708B2"/>
    <w:rsid w:val="00977801"/>
    <w:rsid w:val="009810A7"/>
    <w:rsid w:val="00983161"/>
    <w:rsid w:val="009908CA"/>
    <w:rsid w:val="0099251D"/>
    <w:rsid w:val="00992F8C"/>
    <w:rsid w:val="009B0957"/>
    <w:rsid w:val="009C0EC8"/>
    <w:rsid w:val="009E34FF"/>
    <w:rsid w:val="009E536B"/>
    <w:rsid w:val="00A053FB"/>
    <w:rsid w:val="00A05A58"/>
    <w:rsid w:val="00A101D5"/>
    <w:rsid w:val="00A13119"/>
    <w:rsid w:val="00A15936"/>
    <w:rsid w:val="00A2029D"/>
    <w:rsid w:val="00A30071"/>
    <w:rsid w:val="00A64BDA"/>
    <w:rsid w:val="00A73E2D"/>
    <w:rsid w:val="00A93177"/>
    <w:rsid w:val="00AA4777"/>
    <w:rsid w:val="00AA6245"/>
    <w:rsid w:val="00AB070A"/>
    <w:rsid w:val="00AC5F90"/>
    <w:rsid w:val="00AD57A3"/>
    <w:rsid w:val="00AD57BB"/>
    <w:rsid w:val="00AE1AAE"/>
    <w:rsid w:val="00AF3689"/>
    <w:rsid w:val="00AF6265"/>
    <w:rsid w:val="00AF742F"/>
    <w:rsid w:val="00B42DD7"/>
    <w:rsid w:val="00B43ED1"/>
    <w:rsid w:val="00B60003"/>
    <w:rsid w:val="00B60E7D"/>
    <w:rsid w:val="00B76C44"/>
    <w:rsid w:val="00B800A5"/>
    <w:rsid w:val="00B848A2"/>
    <w:rsid w:val="00B9476A"/>
    <w:rsid w:val="00BA3BF4"/>
    <w:rsid w:val="00BB3D2D"/>
    <w:rsid w:val="00BC10F6"/>
    <w:rsid w:val="00BC4D55"/>
    <w:rsid w:val="00BD12F4"/>
    <w:rsid w:val="00BD1B01"/>
    <w:rsid w:val="00BD3F19"/>
    <w:rsid w:val="00BD7A55"/>
    <w:rsid w:val="00BE0355"/>
    <w:rsid w:val="00BE2120"/>
    <w:rsid w:val="00BE4B55"/>
    <w:rsid w:val="00BF1FDF"/>
    <w:rsid w:val="00BF543C"/>
    <w:rsid w:val="00BF632C"/>
    <w:rsid w:val="00C10E6C"/>
    <w:rsid w:val="00C149EC"/>
    <w:rsid w:val="00C1565C"/>
    <w:rsid w:val="00C25444"/>
    <w:rsid w:val="00C332C7"/>
    <w:rsid w:val="00C360FB"/>
    <w:rsid w:val="00C54071"/>
    <w:rsid w:val="00C5610E"/>
    <w:rsid w:val="00C618D6"/>
    <w:rsid w:val="00C63FAB"/>
    <w:rsid w:val="00C74766"/>
    <w:rsid w:val="00C76089"/>
    <w:rsid w:val="00C770E1"/>
    <w:rsid w:val="00C90259"/>
    <w:rsid w:val="00C97D0C"/>
    <w:rsid w:val="00CC482A"/>
    <w:rsid w:val="00CD3D9C"/>
    <w:rsid w:val="00CE416E"/>
    <w:rsid w:val="00CF29AC"/>
    <w:rsid w:val="00D0230D"/>
    <w:rsid w:val="00D26F10"/>
    <w:rsid w:val="00D278BE"/>
    <w:rsid w:val="00D349D0"/>
    <w:rsid w:val="00D46B33"/>
    <w:rsid w:val="00D55442"/>
    <w:rsid w:val="00D578A1"/>
    <w:rsid w:val="00D71B8D"/>
    <w:rsid w:val="00D8096A"/>
    <w:rsid w:val="00D9039F"/>
    <w:rsid w:val="00D94F14"/>
    <w:rsid w:val="00DB0685"/>
    <w:rsid w:val="00DB737A"/>
    <w:rsid w:val="00DC124E"/>
    <w:rsid w:val="00DD48DC"/>
    <w:rsid w:val="00DE1412"/>
    <w:rsid w:val="00DE15E7"/>
    <w:rsid w:val="00DE5DB6"/>
    <w:rsid w:val="00DE7515"/>
    <w:rsid w:val="00DF05FB"/>
    <w:rsid w:val="00DF1A8F"/>
    <w:rsid w:val="00DF525C"/>
    <w:rsid w:val="00E007EB"/>
    <w:rsid w:val="00E1754E"/>
    <w:rsid w:val="00E17A2B"/>
    <w:rsid w:val="00E24BC2"/>
    <w:rsid w:val="00E300D9"/>
    <w:rsid w:val="00E40EDD"/>
    <w:rsid w:val="00E42F98"/>
    <w:rsid w:val="00E444BB"/>
    <w:rsid w:val="00E457CA"/>
    <w:rsid w:val="00E5144D"/>
    <w:rsid w:val="00E54E22"/>
    <w:rsid w:val="00E61FBD"/>
    <w:rsid w:val="00E73F90"/>
    <w:rsid w:val="00E751D8"/>
    <w:rsid w:val="00EA1C28"/>
    <w:rsid w:val="00EB187D"/>
    <w:rsid w:val="00EB2559"/>
    <w:rsid w:val="00EC2B9E"/>
    <w:rsid w:val="00ED079D"/>
    <w:rsid w:val="00ED07F7"/>
    <w:rsid w:val="00EE0132"/>
    <w:rsid w:val="00EE557C"/>
    <w:rsid w:val="00F00EE6"/>
    <w:rsid w:val="00F1104F"/>
    <w:rsid w:val="00F12DCA"/>
    <w:rsid w:val="00F131F5"/>
    <w:rsid w:val="00F262D3"/>
    <w:rsid w:val="00F40013"/>
    <w:rsid w:val="00F57287"/>
    <w:rsid w:val="00F7054E"/>
    <w:rsid w:val="00F70868"/>
    <w:rsid w:val="00F8742B"/>
    <w:rsid w:val="00F9029E"/>
    <w:rsid w:val="00F97357"/>
    <w:rsid w:val="00FA06D9"/>
    <w:rsid w:val="00FA5C0B"/>
    <w:rsid w:val="00FB7C5E"/>
    <w:rsid w:val="00FC4DA5"/>
    <w:rsid w:val="00FD1444"/>
    <w:rsid w:val="00FD7A5F"/>
    <w:rsid w:val="00FE4057"/>
    <w:rsid w:val="00FE5EC7"/>
    <w:rsid w:val="00FE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9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886"/>
    <w:pPr>
      <w:ind w:left="720"/>
      <w:contextualSpacing/>
    </w:pPr>
  </w:style>
  <w:style w:type="paragraph" w:customStyle="1" w:styleId="Default">
    <w:name w:val="Default"/>
    <w:rsid w:val="00B848A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CA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F12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CA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customStyle="1" w:styleId="CM1">
    <w:name w:val="CM1"/>
    <w:basedOn w:val="Default"/>
    <w:next w:val="Default"/>
    <w:uiPriority w:val="99"/>
    <w:rsid w:val="0061184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61184E"/>
    <w:rPr>
      <w:rFonts w:cstheme="minorBidi"/>
      <w:color w:val="auto"/>
    </w:rPr>
  </w:style>
  <w:style w:type="paragraph" w:customStyle="1" w:styleId="CharChar">
    <w:name w:val="Char Char"/>
    <w:basedOn w:val="Normal"/>
    <w:rsid w:val="000F5317"/>
    <w:pPr>
      <w:suppressAutoHyphens w:val="0"/>
    </w:pPr>
    <w:rPr>
      <w:noProof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CE416E"/>
    <w:pPr>
      <w:suppressAutoHyphens w:val="0"/>
    </w:pPr>
    <w:rPr>
      <w:noProof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3F1AE3"/>
    <w:pPr>
      <w:spacing w:after="120" w:line="288" w:lineRule="auto"/>
      <w:textAlignment w:val="baseline"/>
    </w:pPr>
    <w:rPr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1AE3"/>
    <w:rPr>
      <w:rFonts w:ascii="Times New Roman" w:eastAsia="Times New Roman" w:hAnsi="Times New Roman" w:cs="Times New Roman"/>
      <w:kern w:val="2"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3F1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F6B0-BDA3-4E1B-8341-F305AF19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1049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LAZAR</dc:creator>
  <cp:keywords/>
  <dc:description/>
  <cp:lastModifiedBy>85937228</cp:lastModifiedBy>
  <cp:revision>389</cp:revision>
  <cp:lastPrinted>2021-10-20T09:23:00Z</cp:lastPrinted>
  <dcterms:created xsi:type="dcterms:W3CDTF">2021-03-24T08:20:00Z</dcterms:created>
  <dcterms:modified xsi:type="dcterms:W3CDTF">2021-10-20T09:37:00Z</dcterms:modified>
</cp:coreProperties>
</file>